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7C967">
      <w:pPr>
        <w:spacing w:line="360" w:lineRule="auto"/>
        <w:jc w:val="center"/>
        <w:rPr>
          <w:rFonts w:hint="eastAsia" w:ascii="仿宋" w:hAnsi="仿宋" w:eastAsia="仿宋" w:cs="仿宋"/>
          <w:b/>
          <w:bCs/>
          <w:color w:val="000000" w:themeColor="text1"/>
          <w:sz w:val="44"/>
          <w:szCs w:val="44"/>
          <w:lang w:val="en-US" w:eastAsia="zh-CN"/>
          <w14:textFill>
            <w14:solidFill>
              <w14:schemeClr w14:val="tx1"/>
            </w14:solidFill>
          </w14:textFill>
        </w:rPr>
      </w:pPr>
      <w:bookmarkStart w:id="46" w:name="_GoBack"/>
      <w:bookmarkEnd w:id="46"/>
      <w:r>
        <w:rPr>
          <w:rFonts w:hint="eastAsia" w:ascii="仿宋" w:hAnsi="仿宋" w:eastAsia="仿宋" w:cs="仿宋"/>
          <w:b/>
          <w:bCs/>
          <w:color w:val="000000" w:themeColor="text1"/>
          <w:sz w:val="44"/>
          <w:szCs w:val="44"/>
          <w:lang w:val="en-US" w:eastAsia="zh-CN"/>
          <w14:textFill>
            <w14:solidFill>
              <w14:schemeClr w14:val="tx1"/>
            </w14:solidFill>
          </w14:textFill>
        </w:rPr>
        <w:t>自贡市中医医院</w:t>
      </w:r>
    </w:p>
    <w:p w14:paraId="1B95585C">
      <w:pPr>
        <w:spacing w:line="360" w:lineRule="auto"/>
        <w:jc w:val="center"/>
        <w:rPr>
          <w:rFonts w:hint="eastAsia" w:ascii="仿宋" w:hAnsi="仿宋" w:eastAsia="仿宋" w:cs="仿宋"/>
          <w:b/>
          <w:bCs/>
          <w:color w:val="000000" w:themeColor="text1"/>
          <w:sz w:val="44"/>
          <w:szCs w:val="44"/>
          <w:lang w:val="en-US" w:eastAsia="zh-CN"/>
          <w14:textFill>
            <w14:solidFill>
              <w14:schemeClr w14:val="tx1"/>
            </w14:solidFill>
          </w14:textFill>
        </w:rPr>
      </w:pPr>
      <w:r>
        <w:rPr>
          <w:rFonts w:hint="eastAsia" w:ascii="仿宋" w:hAnsi="仿宋" w:eastAsia="仿宋" w:cs="仿宋"/>
          <w:b/>
          <w:bCs/>
          <w:color w:val="000000" w:themeColor="text1"/>
          <w:sz w:val="44"/>
          <w:szCs w:val="44"/>
          <w:lang w:val="en-US" w:eastAsia="zh-CN"/>
          <w14:textFill>
            <w14:solidFill>
              <w14:schemeClr w14:val="tx1"/>
            </w14:solidFill>
          </w14:textFill>
        </w:rPr>
        <w:t>网络安全等级保护测评服务项目</w:t>
      </w:r>
    </w:p>
    <w:p w14:paraId="68219237">
      <w:pPr>
        <w:pStyle w:val="2"/>
        <w:jc w:val="center"/>
        <w:rPr>
          <w:rFonts w:hint="default"/>
          <w:lang w:val="en-US" w:eastAsia="zh-CN"/>
        </w:rPr>
      </w:pPr>
      <w:r>
        <w:rPr>
          <w:rFonts w:hint="eastAsia" w:ascii="仿宋" w:hAnsi="仿宋" w:eastAsia="仿宋" w:cs="仿宋"/>
          <w:b/>
          <w:bCs/>
          <w:color w:val="000000" w:themeColor="text1"/>
          <w:sz w:val="44"/>
          <w:szCs w:val="44"/>
          <w:lang w:val="en-US" w:eastAsia="zh-CN"/>
          <w14:textFill>
            <w14:solidFill>
              <w14:schemeClr w14:val="tx1"/>
            </w14:solidFill>
          </w14:textFill>
        </w:rPr>
        <w:t>需求调研</w:t>
      </w:r>
    </w:p>
    <w:p w14:paraId="0FFBC1CA">
      <w:pPr>
        <w:widowControl/>
        <w:autoSpaceDE w:val="0"/>
        <w:autoSpaceDN w:val="0"/>
        <w:adjustRightInd w:val="0"/>
        <w:spacing w:line="360" w:lineRule="auto"/>
        <w:ind w:firstLine="480" w:firstLineChars="200"/>
        <w:jc w:val="left"/>
        <w:textAlignment w:val="baseline"/>
        <w:rPr>
          <w:rFonts w:hint="eastAsia" w:ascii="仿宋" w:hAnsi="仿宋" w:eastAsia="仿宋" w:cs="仿宋"/>
          <w:kern w:val="0"/>
          <w:sz w:val="24"/>
        </w:rPr>
      </w:pPr>
    </w:p>
    <w:p w14:paraId="50C9E6D0">
      <w:pPr>
        <w:widowControl/>
        <w:autoSpaceDE w:val="0"/>
        <w:autoSpaceDN w:val="0"/>
        <w:adjustRightInd w:val="0"/>
        <w:spacing w:line="360" w:lineRule="auto"/>
        <w:ind w:firstLine="480" w:firstLineChars="200"/>
        <w:jc w:val="left"/>
        <w:textAlignment w:val="baseline"/>
        <w:rPr>
          <w:rFonts w:hint="eastAsia" w:ascii="仿宋" w:hAnsi="仿宋" w:eastAsia="仿宋" w:cs="仿宋"/>
          <w:kern w:val="0"/>
          <w:sz w:val="24"/>
        </w:rPr>
      </w:pPr>
      <w:r>
        <w:rPr>
          <w:rFonts w:hint="eastAsia" w:ascii="仿宋" w:hAnsi="仿宋" w:eastAsia="仿宋" w:cs="仿宋"/>
          <w:kern w:val="0"/>
          <w:sz w:val="24"/>
        </w:rPr>
        <w:t>为了落实公安部应用系统安全等级保护要求，进一步增强系统安全防护能力，确保系统安全稳定运行，防止因系统安全事件引发安全事故。根据《信息安全技术网络安全等级保护基本要求》（GB/T 22239-2019）、《信息安全等级保护管理办法》（公通字〔2007〕43号）、《中华人民共和国网络安全法》等标准规范，现拟招一家供应商提供</w:t>
      </w:r>
      <w:r>
        <w:rPr>
          <w:rFonts w:hint="eastAsia" w:ascii="仿宋" w:hAnsi="仿宋" w:eastAsia="仿宋" w:cs="仿宋"/>
          <w:kern w:val="0"/>
          <w:sz w:val="24"/>
          <w:lang w:val="en-US" w:eastAsia="zh-CN"/>
        </w:rPr>
        <w:t>网络按安全等级保护</w:t>
      </w:r>
      <w:r>
        <w:rPr>
          <w:rFonts w:hint="eastAsia" w:ascii="仿宋" w:hAnsi="仿宋" w:eastAsia="仿宋" w:cs="仿宋"/>
          <w:kern w:val="0"/>
          <w:sz w:val="24"/>
        </w:rPr>
        <w:t>测评服务</w:t>
      </w:r>
      <w:r>
        <w:rPr>
          <w:rFonts w:hint="eastAsia" w:ascii="仿宋" w:hAnsi="仿宋" w:eastAsia="仿宋" w:cs="仿宋"/>
          <w:kern w:val="0"/>
          <w:sz w:val="24"/>
          <w:lang w:eastAsia="zh-CN"/>
        </w:rPr>
        <w:t>、网络数据安全风险评估</w:t>
      </w:r>
      <w:r>
        <w:rPr>
          <w:rFonts w:hint="eastAsia" w:ascii="仿宋" w:hAnsi="仿宋" w:eastAsia="仿宋" w:cs="仿宋"/>
          <w:kern w:val="0"/>
          <w:sz w:val="24"/>
          <w:lang w:val="en-US" w:eastAsia="zh-CN"/>
        </w:rPr>
        <w:t>服务</w:t>
      </w:r>
      <w:r>
        <w:rPr>
          <w:rFonts w:hint="eastAsia" w:ascii="仿宋" w:hAnsi="仿宋" w:eastAsia="仿宋" w:cs="仿宋"/>
          <w:kern w:val="0"/>
          <w:sz w:val="24"/>
        </w:rPr>
        <w:t>。</w:t>
      </w:r>
    </w:p>
    <w:p w14:paraId="30655173">
      <w:pPr>
        <w:pStyle w:val="2"/>
        <w:ind w:firstLine="482" w:firstLineChars="200"/>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预算：19万元。</w:t>
      </w:r>
    </w:p>
    <w:p w14:paraId="7123D5DE">
      <w:pPr>
        <w:keepNext/>
        <w:keepLines/>
        <w:spacing w:before="340" w:after="330" w:line="360" w:lineRule="auto"/>
        <w:outlineLvl w:val="0"/>
        <w:rPr>
          <w:rFonts w:hint="eastAsia" w:ascii="黑体" w:hAnsi="黑体" w:eastAsia="黑体" w:cs="黑体"/>
          <w:b w:val="0"/>
          <w:bCs w:val="0"/>
          <w:kern w:val="44"/>
          <w:sz w:val="24"/>
        </w:rPr>
      </w:pPr>
      <w:bookmarkStart w:id="0" w:name="_Toc18396"/>
      <w:r>
        <w:rPr>
          <w:rFonts w:hint="eastAsia" w:ascii="黑体" w:hAnsi="黑体" w:eastAsia="黑体" w:cs="黑体"/>
          <w:b w:val="0"/>
          <w:bCs w:val="0"/>
          <w:kern w:val="44"/>
          <w:sz w:val="24"/>
        </w:rPr>
        <w:t>一</w:t>
      </w:r>
      <w:r>
        <w:rPr>
          <w:rFonts w:hint="eastAsia" w:ascii="黑体" w:hAnsi="黑体" w:eastAsia="黑体" w:cs="黑体"/>
          <w:b w:val="0"/>
          <w:bCs w:val="0"/>
          <w:kern w:val="44"/>
          <w:sz w:val="24"/>
          <w:lang w:eastAsia="zh-CN"/>
        </w:rPr>
        <w:t>、</w:t>
      </w:r>
      <w:r>
        <w:rPr>
          <w:rFonts w:hint="eastAsia" w:ascii="黑体" w:hAnsi="黑体" w:eastAsia="黑体" w:cs="黑体"/>
          <w:b w:val="0"/>
          <w:bCs w:val="0"/>
          <w:kern w:val="44"/>
          <w:sz w:val="24"/>
        </w:rPr>
        <w:t>测评要求</w:t>
      </w:r>
      <w:bookmarkEnd w:id="0"/>
    </w:p>
    <w:p w14:paraId="7CD45FBD">
      <w:pPr>
        <w:numPr>
          <w:ilvl w:val="0"/>
          <w:numId w:val="1"/>
        </w:numPr>
        <w:spacing w:before="240" w:after="60" w:line="360" w:lineRule="auto"/>
        <w:jc w:val="left"/>
        <w:outlineLvl w:val="1"/>
        <w:rPr>
          <w:rFonts w:ascii="仿宋" w:hAnsi="仿宋" w:eastAsia="仿宋" w:cs="仿宋"/>
          <w:b/>
          <w:bCs/>
          <w:kern w:val="28"/>
          <w:sz w:val="24"/>
        </w:rPr>
      </w:pPr>
      <w:bookmarkStart w:id="1" w:name="_Toc496775078"/>
      <w:bookmarkStart w:id="2" w:name="_Toc974"/>
      <w:bookmarkStart w:id="3" w:name="_Toc513644849"/>
      <w:bookmarkStart w:id="4" w:name="_Toc496626072"/>
      <w:r>
        <w:rPr>
          <w:rFonts w:hint="eastAsia" w:ascii="仿宋" w:hAnsi="仿宋" w:eastAsia="仿宋" w:cs="仿宋"/>
          <w:b/>
          <w:bCs/>
          <w:kern w:val="28"/>
          <w:sz w:val="24"/>
        </w:rPr>
        <w:t>整体概述</w:t>
      </w:r>
      <w:bookmarkEnd w:id="1"/>
      <w:bookmarkEnd w:id="2"/>
      <w:bookmarkEnd w:id="3"/>
      <w:bookmarkEnd w:id="4"/>
    </w:p>
    <w:p w14:paraId="3106789A">
      <w:pPr>
        <w:keepNext/>
        <w:keepLines/>
        <w:spacing w:before="260" w:after="260" w:line="360" w:lineRule="auto"/>
        <w:outlineLvl w:val="2"/>
        <w:rPr>
          <w:rFonts w:hint="eastAsia" w:ascii="仿宋" w:hAnsi="仿宋" w:eastAsia="仿宋" w:cs="仿宋"/>
          <w:b/>
          <w:bCs/>
          <w:kern w:val="0"/>
          <w:sz w:val="24"/>
        </w:rPr>
      </w:pPr>
      <w:bookmarkStart w:id="5" w:name="_Toc7027"/>
      <w:bookmarkStart w:id="6" w:name="_Toc496626073"/>
      <w:bookmarkStart w:id="7" w:name="_Toc328497602"/>
      <w:bookmarkStart w:id="8" w:name="_Toc513644850"/>
      <w:bookmarkStart w:id="9" w:name="_Toc496775079"/>
      <w:bookmarkStart w:id="10" w:name="_Toc328497603"/>
      <w:bookmarkStart w:id="11" w:name="_Toc263703683"/>
      <w:bookmarkStart w:id="12" w:name="_Toc230413777"/>
      <w:r>
        <w:rPr>
          <w:rFonts w:hint="eastAsia" w:ascii="仿宋" w:hAnsi="仿宋" w:eastAsia="仿宋" w:cs="仿宋"/>
          <w:b/>
          <w:bCs/>
          <w:kern w:val="0"/>
          <w:sz w:val="24"/>
        </w:rPr>
        <w:t>1.1项目背景</w:t>
      </w:r>
      <w:bookmarkEnd w:id="5"/>
      <w:bookmarkEnd w:id="6"/>
      <w:bookmarkEnd w:id="7"/>
      <w:bookmarkEnd w:id="8"/>
      <w:bookmarkEnd w:id="9"/>
    </w:p>
    <w:p w14:paraId="28A9CF50">
      <w:pPr>
        <w:widowControl/>
        <w:autoSpaceDE w:val="0"/>
        <w:autoSpaceDN w:val="0"/>
        <w:adjustRightInd w:val="0"/>
        <w:spacing w:line="360" w:lineRule="auto"/>
        <w:ind w:firstLine="480" w:firstLineChars="200"/>
        <w:jc w:val="left"/>
        <w:textAlignment w:val="baseline"/>
        <w:rPr>
          <w:rFonts w:ascii="仿宋" w:hAnsi="仿宋" w:eastAsia="仿宋" w:cs="仿宋"/>
          <w:kern w:val="0"/>
          <w:sz w:val="24"/>
        </w:rPr>
      </w:pPr>
      <w:r>
        <w:rPr>
          <w:rFonts w:hint="eastAsia" w:ascii="仿宋" w:hAnsi="仿宋" w:eastAsia="仿宋" w:cs="仿宋"/>
          <w:kern w:val="0"/>
          <w:sz w:val="24"/>
        </w:rPr>
        <w:t>依据网络安全等级保护的标准要求，本次网络安全等级保护测评涵盖安全技术（安全物理环境、安全通信网络、安全区域边界、安全计算环境、安全管理中心、）以及安全管理（安全管理制度、安全管理机构、安全管理人员、安全建设管理、安全运维管理）方面。依据相关的测评准则，结合系统的构成特点，判断其安全技术和安全管理的各方面是否达到了相应等级的国家信息系统等级保护要求，找出信息系统中存在的安全隐患，对安全性进行整体评估，制定相关的信息安全整体安全策略和中长期的安全规划，以便对被测系统进行安全方面的调整和改进，确保其安全防护水平达到网络安全等级保护相应能力的要求。</w:t>
      </w:r>
    </w:p>
    <w:bookmarkEnd w:id="10"/>
    <w:p w14:paraId="41EE436F">
      <w:pPr>
        <w:keepNext/>
        <w:keepLines/>
        <w:spacing w:before="260" w:after="260" w:line="360" w:lineRule="auto"/>
        <w:outlineLvl w:val="2"/>
        <w:rPr>
          <w:rFonts w:ascii="仿宋" w:hAnsi="仿宋" w:eastAsia="仿宋" w:cs="仿宋"/>
          <w:b/>
          <w:bCs/>
          <w:kern w:val="0"/>
          <w:sz w:val="24"/>
        </w:rPr>
      </w:pPr>
      <w:bookmarkStart w:id="13" w:name="_Toc29765"/>
      <w:bookmarkStart w:id="14" w:name="_Toc496775080"/>
      <w:bookmarkStart w:id="15" w:name="_Toc496626074"/>
      <w:bookmarkStart w:id="16" w:name="_Toc328497604"/>
      <w:bookmarkStart w:id="17" w:name="_Toc513644851"/>
      <w:r>
        <w:rPr>
          <w:rFonts w:hint="eastAsia" w:ascii="仿宋" w:hAnsi="仿宋" w:eastAsia="仿宋" w:cs="仿宋"/>
          <w:b/>
          <w:bCs/>
          <w:kern w:val="0"/>
          <w:sz w:val="24"/>
        </w:rPr>
        <w:t>1.2测评原则</w:t>
      </w:r>
      <w:bookmarkEnd w:id="11"/>
      <w:bookmarkEnd w:id="13"/>
      <w:bookmarkEnd w:id="14"/>
      <w:bookmarkEnd w:id="15"/>
      <w:bookmarkEnd w:id="16"/>
      <w:bookmarkEnd w:id="17"/>
    </w:p>
    <w:p w14:paraId="6952633E">
      <w:pPr>
        <w:spacing w:line="360" w:lineRule="auto"/>
        <w:ind w:firstLine="120" w:firstLineChars="50"/>
        <w:rPr>
          <w:rFonts w:ascii="仿宋" w:hAnsi="仿宋" w:eastAsia="仿宋" w:cs="仿宋"/>
          <w:kern w:val="0"/>
          <w:sz w:val="24"/>
        </w:rPr>
      </w:pPr>
      <w:r>
        <w:rPr>
          <w:rFonts w:hint="eastAsia" w:ascii="仿宋" w:hAnsi="仿宋" w:eastAsia="仿宋" w:cs="仿宋"/>
          <w:kern w:val="0"/>
          <w:sz w:val="24"/>
        </w:rPr>
        <w:t>方案设计与实施应满足以下原则：</w:t>
      </w:r>
    </w:p>
    <w:p w14:paraId="13FDD690">
      <w:pPr>
        <w:widowControl/>
        <w:tabs>
          <w:tab w:val="left" w:pos="0"/>
        </w:tabs>
        <w:spacing w:line="360" w:lineRule="auto"/>
        <w:ind w:left="420" w:leftChars="200"/>
        <w:rPr>
          <w:rFonts w:ascii="仿宋" w:hAnsi="仿宋" w:eastAsia="仿宋" w:cs="仿宋"/>
          <w:kern w:val="0"/>
          <w:sz w:val="24"/>
        </w:rPr>
      </w:pPr>
      <w:r>
        <w:rPr>
          <w:rFonts w:hint="eastAsia" w:ascii="仿宋" w:hAnsi="仿宋" w:eastAsia="仿宋" w:cs="仿宋"/>
          <w:b/>
          <w:kern w:val="0"/>
          <w:sz w:val="24"/>
        </w:rPr>
        <w:t>（1）符合性原则：</w:t>
      </w:r>
      <w:r>
        <w:rPr>
          <w:rFonts w:hint="eastAsia" w:ascii="仿宋" w:hAnsi="仿宋" w:eastAsia="仿宋" w:cs="仿宋"/>
          <w:kern w:val="0"/>
          <w:sz w:val="24"/>
        </w:rPr>
        <w:t>应符合国家网络安全等级保护制度及相关法律法规，指出防范的方针和保护的原则。</w:t>
      </w:r>
    </w:p>
    <w:p w14:paraId="22B5798E">
      <w:pPr>
        <w:widowControl/>
        <w:tabs>
          <w:tab w:val="left" w:pos="0"/>
        </w:tabs>
        <w:spacing w:line="360" w:lineRule="auto"/>
        <w:ind w:left="420" w:leftChars="200"/>
        <w:rPr>
          <w:rFonts w:ascii="仿宋" w:hAnsi="仿宋" w:eastAsia="仿宋" w:cs="仿宋"/>
          <w:b/>
          <w:kern w:val="0"/>
          <w:sz w:val="24"/>
        </w:rPr>
      </w:pPr>
      <w:r>
        <w:rPr>
          <w:rFonts w:hint="eastAsia" w:ascii="仿宋" w:hAnsi="仿宋" w:eastAsia="仿宋" w:cs="仿宋"/>
          <w:b/>
          <w:kern w:val="0"/>
          <w:sz w:val="24"/>
        </w:rPr>
        <w:t>（2）标准性原则：</w:t>
      </w:r>
      <w:r>
        <w:rPr>
          <w:rFonts w:hint="eastAsia" w:ascii="仿宋" w:hAnsi="仿宋" w:eastAsia="仿宋" w:cs="仿宋"/>
          <w:kern w:val="0"/>
          <w:sz w:val="24"/>
        </w:rPr>
        <w:t>方案设计、实施与网络安全体系的构建应依据国内、国际的相关标准进行。</w:t>
      </w:r>
    </w:p>
    <w:p w14:paraId="418E2BBE">
      <w:pPr>
        <w:widowControl/>
        <w:tabs>
          <w:tab w:val="left" w:pos="0"/>
        </w:tabs>
        <w:spacing w:line="360" w:lineRule="auto"/>
        <w:ind w:left="420" w:leftChars="200"/>
        <w:rPr>
          <w:rFonts w:ascii="仿宋" w:hAnsi="仿宋" w:eastAsia="仿宋" w:cs="仿宋"/>
          <w:kern w:val="0"/>
          <w:sz w:val="24"/>
        </w:rPr>
      </w:pPr>
      <w:r>
        <w:rPr>
          <w:rFonts w:hint="eastAsia" w:ascii="仿宋" w:hAnsi="仿宋" w:eastAsia="仿宋" w:cs="仿宋"/>
          <w:b/>
          <w:kern w:val="0"/>
          <w:sz w:val="24"/>
        </w:rPr>
        <w:t>（3）规范性原则：</w:t>
      </w:r>
      <w:r>
        <w:rPr>
          <w:rFonts w:hint="eastAsia" w:ascii="仿宋" w:hAnsi="仿宋" w:eastAsia="仿宋" w:cs="仿宋"/>
          <w:kern w:val="0"/>
          <w:sz w:val="24"/>
        </w:rPr>
        <w:t>项目实施应由专业的等级测评师依照规范的操作流程进行，在实施之前将详细量化出每项测评内容，对操作过程和结果提供规范的记录，以便于项目的跟踪和控制。</w:t>
      </w:r>
    </w:p>
    <w:p w14:paraId="033A21D5">
      <w:pPr>
        <w:widowControl/>
        <w:tabs>
          <w:tab w:val="left" w:pos="0"/>
        </w:tabs>
        <w:spacing w:line="360" w:lineRule="auto"/>
        <w:ind w:left="420" w:leftChars="200"/>
        <w:rPr>
          <w:rFonts w:ascii="仿宋" w:hAnsi="仿宋" w:eastAsia="仿宋" w:cs="仿宋"/>
          <w:b/>
          <w:kern w:val="0"/>
          <w:sz w:val="24"/>
        </w:rPr>
      </w:pPr>
      <w:r>
        <w:rPr>
          <w:rFonts w:hint="eastAsia" w:ascii="仿宋" w:hAnsi="仿宋" w:eastAsia="仿宋" w:cs="仿宋"/>
          <w:b/>
          <w:kern w:val="0"/>
          <w:sz w:val="24"/>
        </w:rPr>
        <w:t>（4）可控性原则：</w:t>
      </w:r>
      <w:r>
        <w:rPr>
          <w:rFonts w:hint="eastAsia" w:ascii="仿宋" w:hAnsi="仿宋" w:eastAsia="仿宋" w:cs="仿宋"/>
          <w:kern w:val="0"/>
          <w:sz w:val="24"/>
        </w:rPr>
        <w:t>项目实施的方法和过程要在双方认可的范围之内，实施进度要按照进度表进度的安排，保证项目实施的可控性。</w:t>
      </w:r>
    </w:p>
    <w:p w14:paraId="16931AF0">
      <w:pPr>
        <w:widowControl/>
        <w:tabs>
          <w:tab w:val="left" w:pos="0"/>
        </w:tabs>
        <w:spacing w:line="360" w:lineRule="auto"/>
        <w:ind w:left="420" w:leftChars="200"/>
        <w:rPr>
          <w:rFonts w:ascii="仿宋" w:hAnsi="仿宋" w:eastAsia="仿宋" w:cs="仿宋"/>
          <w:kern w:val="0"/>
          <w:sz w:val="24"/>
        </w:rPr>
      </w:pPr>
      <w:r>
        <w:rPr>
          <w:rFonts w:hint="eastAsia" w:ascii="仿宋" w:hAnsi="仿宋" w:eastAsia="仿宋" w:cs="仿宋"/>
          <w:b/>
          <w:kern w:val="0"/>
          <w:sz w:val="24"/>
        </w:rPr>
        <w:t>（5）整体性原则：</w:t>
      </w:r>
      <w:r>
        <w:rPr>
          <w:rFonts w:hint="eastAsia" w:ascii="仿宋" w:hAnsi="仿宋" w:eastAsia="仿宋" w:cs="仿宋"/>
          <w:kern w:val="0"/>
          <w:sz w:val="24"/>
        </w:rPr>
        <w:t>安全体系设计的范围和内容应当整体全面，包括安全涉及的各个层面，避免由于遗漏造成未来的安全隐患。</w:t>
      </w:r>
    </w:p>
    <w:p w14:paraId="2E97DD73">
      <w:pPr>
        <w:widowControl/>
        <w:tabs>
          <w:tab w:val="left" w:pos="0"/>
        </w:tabs>
        <w:spacing w:line="360" w:lineRule="auto"/>
        <w:ind w:left="420" w:leftChars="200"/>
        <w:rPr>
          <w:rFonts w:ascii="仿宋" w:hAnsi="仿宋" w:eastAsia="仿宋" w:cs="仿宋"/>
          <w:kern w:val="0"/>
          <w:sz w:val="24"/>
        </w:rPr>
      </w:pPr>
      <w:r>
        <w:rPr>
          <w:rFonts w:hint="eastAsia" w:ascii="仿宋" w:hAnsi="仿宋" w:eastAsia="仿宋" w:cs="仿宋"/>
          <w:b/>
          <w:kern w:val="0"/>
          <w:sz w:val="24"/>
        </w:rPr>
        <w:t>（6）最小影响原则：</w:t>
      </w:r>
      <w:r>
        <w:rPr>
          <w:rFonts w:hint="eastAsia" w:ascii="仿宋" w:hAnsi="仿宋" w:eastAsia="仿宋" w:cs="仿宋"/>
          <w:kern w:val="0"/>
          <w:sz w:val="24"/>
        </w:rPr>
        <w:t>项目实施工作应尽可能小的影响网络和信息系统的正常运行，不能对信息系统的运行和业务的正常提供产生显著影响。</w:t>
      </w:r>
    </w:p>
    <w:p w14:paraId="2546C3BB">
      <w:pPr>
        <w:widowControl/>
        <w:tabs>
          <w:tab w:val="left" w:pos="0"/>
        </w:tabs>
        <w:spacing w:line="360" w:lineRule="auto"/>
        <w:ind w:left="420" w:leftChars="200"/>
        <w:rPr>
          <w:rFonts w:ascii="仿宋" w:hAnsi="仿宋" w:eastAsia="仿宋" w:cs="仿宋"/>
          <w:kern w:val="0"/>
          <w:sz w:val="24"/>
        </w:rPr>
      </w:pPr>
      <w:r>
        <w:rPr>
          <w:rFonts w:hint="eastAsia" w:ascii="仿宋" w:hAnsi="仿宋" w:eastAsia="仿宋" w:cs="仿宋"/>
          <w:b/>
          <w:kern w:val="0"/>
          <w:sz w:val="24"/>
        </w:rPr>
        <w:t>（7）保密原则：</w:t>
      </w:r>
      <w:r>
        <w:rPr>
          <w:rFonts w:hint="eastAsia" w:ascii="仿宋" w:hAnsi="仿宋" w:eastAsia="仿宋" w:cs="仿宋"/>
          <w:kern w:val="0"/>
          <w:sz w:val="24"/>
        </w:rPr>
        <w:t>对项目实施过程获得的数据和结果严格保密，未经授权不得泄露给任何单位和个人，不得利用此数据和结果进行任何侵害测评委托单位利益的行为。</w:t>
      </w:r>
    </w:p>
    <w:bookmarkEnd w:id="12"/>
    <w:p w14:paraId="1795D47C">
      <w:pPr>
        <w:keepNext/>
        <w:keepLines/>
        <w:spacing w:before="260" w:after="260" w:line="360" w:lineRule="auto"/>
        <w:outlineLvl w:val="2"/>
        <w:rPr>
          <w:rFonts w:ascii="仿宋" w:hAnsi="仿宋" w:eastAsia="仿宋" w:cs="仿宋"/>
          <w:b/>
          <w:bCs/>
          <w:kern w:val="0"/>
          <w:sz w:val="24"/>
        </w:rPr>
      </w:pPr>
      <w:bookmarkStart w:id="18" w:name="_Toc17407"/>
      <w:bookmarkStart w:id="19" w:name="_Toc496626075"/>
      <w:bookmarkStart w:id="20" w:name="_Toc230413778"/>
      <w:bookmarkStart w:id="21" w:name="_Toc328497605"/>
      <w:bookmarkStart w:id="22" w:name="_Toc496775081"/>
      <w:bookmarkStart w:id="23" w:name="_Toc513644852"/>
      <w:r>
        <w:rPr>
          <w:rFonts w:hint="eastAsia" w:ascii="仿宋" w:hAnsi="仿宋" w:eastAsia="仿宋" w:cs="仿宋"/>
          <w:b/>
          <w:bCs/>
          <w:kern w:val="0"/>
          <w:sz w:val="24"/>
        </w:rPr>
        <w:t>1.3测评依据</w:t>
      </w:r>
      <w:bookmarkEnd w:id="18"/>
      <w:bookmarkEnd w:id="19"/>
      <w:bookmarkEnd w:id="20"/>
      <w:bookmarkEnd w:id="21"/>
      <w:bookmarkEnd w:id="22"/>
      <w:bookmarkEnd w:id="23"/>
    </w:p>
    <w:p w14:paraId="4E3482B7">
      <w:pPr>
        <w:widowControl/>
        <w:autoSpaceDE w:val="0"/>
        <w:autoSpaceDN w:val="0"/>
        <w:adjustRightInd w:val="0"/>
        <w:spacing w:line="360" w:lineRule="auto"/>
        <w:ind w:firstLine="480" w:firstLineChars="200"/>
        <w:jc w:val="left"/>
        <w:textAlignment w:val="baseline"/>
        <w:rPr>
          <w:rFonts w:ascii="仿宋" w:hAnsi="仿宋" w:eastAsia="仿宋" w:cs="仿宋"/>
          <w:kern w:val="0"/>
          <w:sz w:val="24"/>
        </w:rPr>
      </w:pPr>
      <w:r>
        <w:rPr>
          <w:rFonts w:hint="eastAsia" w:ascii="仿宋" w:hAnsi="仿宋" w:eastAsia="仿宋" w:cs="仿宋"/>
          <w:kern w:val="0"/>
          <w:sz w:val="24"/>
        </w:rPr>
        <w:t>信息系统等级测评依据《网络安全等级保护基本要求》、《网络安全等级保护测评要求》，在对信息系统进行安全技术和安全管理的安全控制测评及系统整体测评结果基础上，针对相应等级的信息系统遵循的标准进行综合系统测评，提出相应的系统安全整改建议。</w:t>
      </w:r>
    </w:p>
    <w:p w14:paraId="10CA140A">
      <w:pPr>
        <w:widowControl/>
        <w:autoSpaceDE w:val="0"/>
        <w:autoSpaceDN w:val="0"/>
        <w:adjustRightInd w:val="0"/>
        <w:spacing w:line="360" w:lineRule="auto"/>
        <w:ind w:firstLine="480" w:firstLineChars="200"/>
        <w:jc w:val="left"/>
        <w:textAlignment w:val="baseline"/>
        <w:rPr>
          <w:rFonts w:ascii="仿宋" w:hAnsi="仿宋" w:eastAsia="仿宋" w:cs="仿宋"/>
          <w:kern w:val="0"/>
          <w:sz w:val="24"/>
        </w:rPr>
      </w:pPr>
      <w:r>
        <w:rPr>
          <w:rFonts w:hint="eastAsia" w:ascii="仿宋" w:hAnsi="仿宋" w:eastAsia="仿宋" w:cs="仿宋"/>
          <w:kern w:val="0"/>
          <w:sz w:val="24"/>
        </w:rPr>
        <w:t>主要参考标准如下：</w:t>
      </w:r>
    </w:p>
    <w:p w14:paraId="36271144">
      <w:pPr>
        <w:pStyle w:val="4"/>
        <w:spacing w:line="360" w:lineRule="auto"/>
        <w:ind w:firstLine="480"/>
        <w:rPr>
          <w:rFonts w:ascii="仿宋" w:hAnsi="仿宋" w:eastAsia="仿宋" w:cs="仿宋"/>
          <w:sz w:val="24"/>
        </w:rPr>
      </w:pPr>
      <w:r>
        <w:rPr>
          <w:rFonts w:hint="eastAsia" w:ascii="仿宋" w:hAnsi="仿宋" w:eastAsia="仿宋" w:cs="仿宋"/>
          <w:sz w:val="24"/>
        </w:rPr>
        <w:t>《中华人民共和国网络安全法》</w:t>
      </w:r>
    </w:p>
    <w:p w14:paraId="449E19BA">
      <w:pPr>
        <w:pStyle w:val="4"/>
        <w:spacing w:line="360" w:lineRule="auto"/>
        <w:ind w:left="400" w:firstLine="480"/>
        <w:rPr>
          <w:rFonts w:ascii="仿宋" w:hAnsi="仿宋" w:eastAsia="仿宋" w:cs="仿宋"/>
          <w:sz w:val="24"/>
        </w:rPr>
      </w:pPr>
      <w:r>
        <w:rPr>
          <w:rFonts w:hint="eastAsia" w:ascii="仿宋" w:hAnsi="仿宋" w:eastAsia="仿宋" w:cs="仿宋"/>
          <w:sz w:val="24"/>
        </w:rPr>
        <w:t>GB17859-1999：《计算机</w:t>
      </w:r>
      <w:r>
        <w:rPr>
          <w:rFonts w:hint="eastAsia" w:ascii="仿宋" w:hAnsi="仿宋" w:eastAsia="仿宋" w:cs="仿宋"/>
          <w:sz w:val="24"/>
          <w:lang w:eastAsia="zh-CN"/>
        </w:rPr>
        <w:t>网络安全</w:t>
      </w:r>
      <w:r>
        <w:rPr>
          <w:rFonts w:hint="eastAsia" w:ascii="仿宋" w:hAnsi="仿宋" w:eastAsia="仿宋" w:cs="仿宋"/>
          <w:sz w:val="24"/>
        </w:rPr>
        <w:t>保护等级划分准则》</w:t>
      </w:r>
    </w:p>
    <w:p w14:paraId="6DB5D3FA">
      <w:pPr>
        <w:pStyle w:val="4"/>
        <w:spacing w:line="360" w:lineRule="auto"/>
        <w:ind w:left="400" w:firstLine="480"/>
        <w:rPr>
          <w:rFonts w:ascii="仿宋" w:hAnsi="仿宋" w:eastAsia="仿宋" w:cs="仿宋"/>
          <w:sz w:val="24"/>
        </w:rPr>
      </w:pPr>
      <w:r>
        <w:rPr>
          <w:rFonts w:hint="eastAsia" w:ascii="仿宋" w:hAnsi="仿宋" w:eastAsia="仿宋" w:cs="仿宋"/>
          <w:sz w:val="24"/>
        </w:rPr>
        <w:t>GB/T 20984-2007：《信息安全技术 信息安全风险评估规范》</w:t>
      </w:r>
    </w:p>
    <w:p w14:paraId="693AF92E">
      <w:pPr>
        <w:pStyle w:val="4"/>
        <w:spacing w:line="360" w:lineRule="auto"/>
        <w:ind w:left="400" w:firstLine="480"/>
        <w:rPr>
          <w:rFonts w:ascii="仿宋" w:hAnsi="仿宋" w:eastAsia="仿宋" w:cs="仿宋"/>
          <w:sz w:val="24"/>
        </w:rPr>
      </w:pPr>
      <w:r>
        <w:rPr>
          <w:rFonts w:hint="eastAsia" w:ascii="仿宋" w:hAnsi="仿宋" w:eastAsia="仿宋" w:cs="仿宋"/>
          <w:sz w:val="24"/>
        </w:rPr>
        <w:t>GB/T 22239-2019：《信息安全技术 网络安全等级保护基本要求》</w:t>
      </w:r>
    </w:p>
    <w:p w14:paraId="770B7C2F">
      <w:pPr>
        <w:pStyle w:val="4"/>
        <w:spacing w:line="360" w:lineRule="auto"/>
        <w:ind w:left="400" w:firstLine="480"/>
        <w:rPr>
          <w:rFonts w:ascii="仿宋" w:hAnsi="仿宋" w:eastAsia="仿宋" w:cs="仿宋"/>
          <w:sz w:val="24"/>
        </w:rPr>
      </w:pPr>
      <w:r>
        <w:rPr>
          <w:rFonts w:hint="eastAsia" w:ascii="仿宋" w:hAnsi="仿宋" w:eastAsia="仿宋" w:cs="仿宋"/>
          <w:sz w:val="24"/>
        </w:rPr>
        <w:t xml:space="preserve">GB/T 22240-2008：《信息安全技术 </w:t>
      </w:r>
      <w:r>
        <w:rPr>
          <w:rFonts w:hint="eastAsia" w:ascii="仿宋" w:hAnsi="仿宋" w:eastAsia="仿宋" w:cs="仿宋"/>
          <w:sz w:val="24"/>
          <w:lang w:eastAsia="zh-CN"/>
        </w:rPr>
        <w:t>网络安全</w:t>
      </w:r>
      <w:r>
        <w:rPr>
          <w:rFonts w:hint="eastAsia" w:ascii="仿宋" w:hAnsi="仿宋" w:eastAsia="仿宋" w:cs="仿宋"/>
          <w:sz w:val="24"/>
        </w:rPr>
        <w:t>等级保护定级指南》</w:t>
      </w:r>
    </w:p>
    <w:p w14:paraId="7EB971B5">
      <w:pPr>
        <w:pStyle w:val="4"/>
        <w:spacing w:line="360" w:lineRule="auto"/>
        <w:ind w:left="400" w:firstLine="480"/>
        <w:rPr>
          <w:rFonts w:ascii="仿宋" w:hAnsi="仿宋" w:eastAsia="仿宋" w:cs="仿宋"/>
          <w:sz w:val="24"/>
        </w:rPr>
      </w:pPr>
      <w:r>
        <w:rPr>
          <w:rFonts w:hint="eastAsia" w:ascii="仿宋" w:hAnsi="仿宋" w:eastAsia="仿宋" w:cs="仿宋"/>
          <w:sz w:val="24"/>
        </w:rPr>
        <w:t>GB/T 25058-2019：《信息安全技术 网络安全等级保护实施指南》</w:t>
      </w:r>
    </w:p>
    <w:p w14:paraId="6D63F131">
      <w:pPr>
        <w:pStyle w:val="4"/>
        <w:spacing w:line="360" w:lineRule="auto"/>
        <w:ind w:left="400" w:firstLine="480"/>
        <w:rPr>
          <w:rFonts w:ascii="仿宋" w:hAnsi="仿宋" w:eastAsia="仿宋" w:cs="仿宋"/>
          <w:sz w:val="24"/>
        </w:rPr>
      </w:pPr>
      <w:r>
        <w:rPr>
          <w:rFonts w:hint="eastAsia" w:ascii="仿宋" w:hAnsi="仿宋" w:eastAsia="仿宋" w:cs="仿宋"/>
          <w:sz w:val="24"/>
        </w:rPr>
        <w:t>GB/T 25070-2019：《信息安全技术 网络安全等级保护安全设计技术要求》</w:t>
      </w:r>
    </w:p>
    <w:p w14:paraId="75556D06">
      <w:pPr>
        <w:pStyle w:val="4"/>
        <w:spacing w:line="360" w:lineRule="auto"/>
        <w:ind w:left="400" w:firstLine="480"/>
        <w:rPr>
          <w:rFonts w:ascii="仿宋" w:hAnsi="仿宋" w:eastAsia="仿宋" w:cs="仿宋"/>
          <w:sz w:val="24"/>
        </w:rPr>
      </w:pPr>
      <w:r>
        <w:rPr>
          <w:rFonts w:hint="eastAsia" w:ascii="仿宋" w:hAnsi="仿宋" w:eastAsia="仿宋" w:cs="仿宋"/>
          <w:sz w:val="24"/>
        </w:rPr>
        <w:t>GB/T 28448-2019：《信息安全技术 网络安全等级保护测评要求》</w:t>
      </w:r>
    </w:p>
    <w:p w14:paraId="3BCA5294">
      <w:pPr>
        <w:pStyle w:val="4"/>
        <w:spacing w:line="360" w:lineRule="auto"/>
        <w:ind w:left="400" w:firstLine="480"/>
        <w:rPr>
          <w:rFonts w:ascii="仿宋" w:hAnsi="仿宋" w:eastAsia="仿宋" w:cs="仿宋"/>
          <w:sz w:val="24"/>
        </w:rPr>
      </w:pPr>
      <w:r>
        <w:rPr>
          <w:rFonts w:hint="eastAsia" w:ascii="仿宋" w:hAnsi="仿宋" w:eastAsia="仿宋" w:cs="仿宋"/>
          <w:sz w:val="24"/>
        </w:rPr>
        <w:t>GB/T 28449-2018：《信息安全技术 网络安全等级保护测评过程指南》</w:t>
      </w:r>
    </w:p>
    <w:p w14:paraId="21AA1BE4">
      <w:pPr>
        <w:pStyle w:val="4"/>
        <w:spacing w:line="360" w:lineRule="auto"/>
        <w:ind w:left="400" w:firstLine="480"/>
        <w:rPr>
          <w:rFonts w:ascii="仿宋" w:hAnsi="仿宋" w:eastAsia="仿宋" w:cs="仿宋"/>
          <w:sz w:val="24"/>
        </w:rPr>
      </w:pPr>
      <w:r>
        <w:rPr>
          <w:rFonts w:hint="eastAsia" w:ascii="仿宋" w:hAnsi="仿宋" w:eastAsia="仿宋" w:cs="仿宋"/>
          <w:sz w:val="24"/>
        </w:rPr>
        <w:t>GB/T 31509-2015：《信息安全技术 信息安全风险评估实施指南》</w:t>
      </w:r>
    </w:p>
    <w:p w14:paraId="78EEFB2A">
      <w:pPr>
        <w:pStyle w:val="4"/>
        <w:spacing w:line="360" w:lineRule="auto"/>
        <w:ind w:left="400" w:firstLine="480"/>
        <w:rPr>
          <w:rFonts w:ascii="仿宋" w:hAnsi="仿宋" w:eastAsia="仿宋" w:cs="仿宋"/>
          <w:sz w:val="24"/>
        </w:rPr>
      </w:pPr>
      <w:r>
        <w:rPr>
          <w:rFonts w:hint="eastAsia" w:ascii="仿宋" w:hAnsi="仿宋" w:eastAsia="仿宋" w:cs="仿宋"/>
          <w:sz w:val="24"/>
        </w:rPr>
        <w:t>GB/T 36627-2018：《信息安全技术 网络安全等级保护测试评估技术指南》</w:t>
      </w:r>
    </w:p>
    <w:p w14:paraId="698F746B">
      <w:pPr>
        <w:numPr>
          <w:ilvl w:val="0"/>
          <w:numId w:val="1"/>
        </w:numPr>
        <w:spacing w:before="240" w:after="60" w:line="360" w:lineRule="auto"/>
        <w:jc w:val="left"/>
        <w:outlineLvl w:val="1"/>
        <w:rPr>
          <w:rFonts w:ascii="仿宋" w:hAnsi="仿宋" w:eastAsia="仿宋" w:cs="仿宋"/>
          <w:b/>
          <w:bCs/>
          <w:kern w:val="28"/>
          <w:sz w:val="24"/>
        </w:rPr>
      </w:pPr>
      <w:bookmarkStart w:id="24" w:name="_Toc496775082"/>
      <w:bookmarkStart w:id="25" w:name="_Toc496626076"/>
      <w:bookmarkStart w:id="26" w:name="_Toc23023"/>
      <w:bookmarkStart w:id="27" w:name="_Toc513644853"/>
      <w:r>
        <w:rPr>
          <w:rFonts w:hint="eastAsia" w:ascii="仿宋" w:hAnsi="仿宋" w:eastAsia="仿宋" w:cs="仿宋"/>
          <w:b/>
          <w:bCs/>
          <w:kern w:val="28"/>
          <w:sz w:val="24"/>
        </w:rPr>
        <w:t>测评实施内容</w:t>
      </w:r>
      <w:bookmarkEnd w:id="24"/>
      <w:bookmarkEnd w:id="25"/>
      <w:bookmarkEnd w:id="26"/>
      <w:bookmarkEnd w:id="27"/>
    </w:p>
    <w:p w14:paraId="5328AFD7">
      <w:pPr>
        <w:keepNext/>
        <w:keepLines/>
        <w:spacing w:before="260" w:after="260" w:line="360" w:lineRule="auto"/>
        <w:outlineLvl w:val="2"/>
        <w:rPr>
          <w:rFonts w:ascii="仿宋" w:hAnsi="仿宋" w:eastAsia="仿宋" w:cs="仿宋"/>
          <w:b/>
          <w:bCs/>
          <w:kern w:val="0"/>
          <w:sz w:val="24"/>
        </w:rPr>
      </w:pPr>
      <w:bookmarkStart w:id="28" w:name="_Toc3512"/>
      <w:bookmarkStart w:id="29" w:name="_Toc513644854"/>
      <w:bookmarkStart w:id="30" w:name="_Toc496775083"/>
      <w:bookmarkStart w:id="31" w:name="_Toc496626077"/>
      <w:r>
        <w:rPr>
          <w:rFonts w:hint="eastAsia" w:ascii="仿宋" w:hAnsi="仿宋" w:eastAsia="仿宋" w:cs="仿宋"/>
          <w:b/>
          <w:bCs/>
          <w:kern w:val="0"/>
          <w:sz w:val="24"/>
        </w:rPr>
        <w:t>2.1测评分析</w:t>
      </w:r>
      <w:bookmarkEnd w:id="28"/>
      <w:bookmarkEnd w:id="29"/>
      <w:bookmarkEnd w:id="30"/>
      <w:bookmarkEnd w:id="31"/>
    </w:p>
    <w:p w14:paraId="41E9AA59">
      <w:pPr>
        <w:widowControl/>
        <w:spacing w:after="200" w:line="360" w:lineRule="auto"/>
        <w:ind w:left="851" w:hanging="851"/>
        <w:jc w:val="left"/>
        <w:outlineLvl w:val="3"/>
        <w:rPr>
          <w:rFonts w:ascii="仿宋" w:hAnsi="仿宋" w:eastAsia="仿宋" w:cs="仿宋"/>
          <w:b/>
          <w:kern w:val="0"/>
          <w:sz w:val="24"/>
        </w:rPr>
      </w:pPr>
      <w:bookmarkStart w:id="32" w:name="_Toc328497606"/>
      <w:bookmarkStart w:id="33" w:name="_Toc496626078"/>
      <w:r>
        <w:rPr>
          <w:rFonts w:hint="eastAsia" w:ascii="仿宋" w:hAnsi="仿宋" w:eastAsia="仿宋" w:cs="仿宋"/>
          <w:b/>
          <w:kern w:val="0"/>
          <w:sz w:val="24"/>
        </w:rPr>
        <w:t>2.1.1</w:t>
      </w:r>
      <w:bookmarkEnd w:id="32"/>
      <w:bookmarkEnd w:id="33"/>
      <w:r>
        <w:rPr>
          <w:rFonts w:hint="eastAsia" w:ascii="仿宋" w:hAnsi="仿宋" w:eastAsia="仿宋" w:cs="仿宋"/>
          <w:b/>
          <w:kern w:val="0"/>
          <w:sz w:val="24"/>
        </w:rPr>
        <w:t xml:space="preserve"> 测评对象</w:t>
      </w:r>
    </w:p>
    <w:tbl>
      <w:tblPr>
        <w:tblStyle w:val="6"/>
        <w:tblpPr w:leftFromText="180" w:rightFromText="180" w:vertAnchor="text" w:horzAnchor="page" w:tblpX="2089" w:tblpY="198"/>
        <w:tblOverlap w:val="never"/>
        <w:tblW w:w="7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6"/>
        <w:gridCol w:w="4275"/>
        <w:gridCol w:w="2327"/>
      </w:tblGrid>
      <w:tr w14:paraId="546C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16" w:type="dxa"/>
            <w:shd w:val="clear" w:color="auto" w:fill="auto"/>
            <w:tcMar>
              <w:top w:w="12" w:type="dxa"/>
              <w:left w:w="12" w:type="dxa"/>
              <w:right w:w="12" w:type="dxa"/>
            </w:tcMar>
            <w:vAlign w:val="center"/>
          </w:tcPr>
          <w:p w14:paraId="550A8043">
            <w:pPr>
              <w:widowControl/>
              <w:jc w:val="center"/>
              <w:textAlignment w:val="center"/>
              <w:rPr>
                <w:rFonts w:hint="eastAsia" w:ascii="仿宋" w:hAnsi="仿宋" w:eastAsia="仿宋" w:cs="仿宋"/>
                <w:b/>
                <w:sz w:val="24"/>
                <w:szCs w:val="24"/>
              </w:rPr>
            </w:pPr>
            <w:r>
              <w:rPr>
                <w:rFonts w:hint="eastAsia" w:ascii="仿宋" w:hAnsi="仿宋" w:eastAsia="仿宋" w:cs="仿宋"/>
                <w:b/>
                <w:kern w:val="0"/>
                <w:sz w:val="24"/>
                <w:szCs w:val="24"/>
              </w:rPr>
              <w:t>序号</w:t>
            </w:r>
          </w:p>
        </w:tc>
        <w:tc>
          <w:tcPr>
            <w:tcW w:w="4275" w:type="dxa"/>
            <w:shd w:val="clear" w:color="auto" w:fill="auto"/>
            <w:tcMar>
              <w:top w:w="12" w:type="dxa"/>
              <w:left w:w="12" w:type="dxa"/>
              <w:right w:w="12" w:type="dxa"/>
            </w:tcMar>
            <w:vAlign w:val="center"/>
          </w:tcPr>
          <w:p w14:paraId="54972E29">
            <w:pPr>
              <w:widowControl/>
              <w:jc w:val="center"/>
              <w:textAlignment w:val="center"/>
              <w:rPr>
                <w:rFonts w:hint="eastAsia" w:ascii="仿宋" w:hAnsi="仿宋" w:eastAsia="仿宋" w:cs="仿宋"/>
                <w:b/>
                <w:sz w:val="24"/>
                <w:szCs w:val="24"/>
              </w:rPr>
            </w:pPr>
            <w:r>
              <w:rPr>
                <w:rFonts w:hint="eastAsia" w:ascii="仿宋" w:hAnsi="仿宋" w:eastAsia="仿宋" w:cs="仿宋"/>
                <w:b/>
                <w:color w:val="000000"/>
                <w:kern w:val="0"/>
                <w:sz w:val="24"/>
                <w:szCs w:val="24"/>
              </w:rPr>
              <w:t>系统名称</w:t>
            </w:r>
          </w:p>
        </w:tc>
        <w:tc>
          <w:tcPr>
            <w:tcW w:w="2327" w:type="dxa"/>
            <w:vAlign w:val="center"/>
          </w:tcPr>
          <w:p w14:paraId="2FAE853E">
            <w:pPr>
              <w:widowControl/>
              <w:jc w:val="center"/>
              <w:textAlignment w:val="center"/>
              <w:rPr>
                <w:rFonts w:hint="eastAsia" w:ascii="仿宋" w:hAnsi="仿宋" w:eastAsia="仿宋" w:cs="仿宋"/>
                <w:b/>
                <w:kern w:val="0"/>
                <w:sz w:val="24"/>
                <w:szCs w:val="24"/>
              </w:rPr>
            </w:pPr>
            <w:r>
              <w:rPr>
                <w:rFonts w:hint="eastAsia" w:ascii="仿宋" w:hAnsi="仿宋" w:eastAsia="仿宋" w:cs="仿宋"/>
                <w:b/>
                <w:color w:val="000000"/>
                <w:kern w:val="0"/>
                <w:sz w:val="24"/>
                <w:szCs w:val="24"/>
              </w:rPr>
              <w:t>安全等级</w:t>
            </w:r>
          </w:p>
        </w:tc>
      </w:tr>
      <w:tr w14:paraId="1EC4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16" w:type="dxa"/>
            <w:shd w:val="clear" w:color="auto" w:fill="auto"/>
            <w:tcMar>
              <w:top w:w="12" w:type="dxa"/>
              <w:left w:w="12" w:type="dxa"/>
              <w:right w:w="12" w:type="dxa"/>
            </w:tcMar>
            <w:vAlign w:val="center"/>
          </w:tcPr>
          <w:p w14:paraId="04529D41">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275" w:type="dxa"/>
            <w:shd w:val="clear" w:color="auto" w:fill="auto"/>
            <w:tcMar>
              <w:top w:w="12" w:type="dxa"/>
              <w:left w:w="12" w:type="dxa"/>
              <w:right w:w="12" w:type="dxa"/>
            </w:tcMar>
            <w:vAlign w:val="center"/>
          </w:tcPr>
          <w:p w14:paraId="488B3091">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HIS</w:t>
            </w:r>
          </w:p>
        </w:tc>
        <w:tc>
          <w:tcPr>
            <w:tcW w:w="2327" w:type="dxa"/>
            <w:vAlign w:val="center"/>
          </w:tcPr>
          <w:p w14:paraId="03D3577F">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三级</w:t>
            </w:r>
          </w:p>
        </w:tc>
      </w:tr>
      <w:tr w14:paraId="795F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16" w:type="dxa"/>
            <w:shd w:val="clear" w:color="auto" w:fill="auto"/>
            <w:tcMar>
              <w:top w:w="12" w:type="dxa"/>
              <w:left w:w="12" w:type="dxa"/>
              <w:right w:w="12" w:type="dxa"/>
            </w:tcMar>
            <w:vAlign w:val="center"/>
          </w:tcPr>
          <w:p w14:paraId="7A29B37D">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275" w:type="dxa"/>
            <w:shd w:val="clear" w:color="auto" w:fill="auto"/>
            <w:tcMar>
              <w:top w:w="12" w:type="dxa"/>
              <w:left w:w="12" w:type="dxa"/>
              <w:right w:w="12" w:type="dxa"/>
            </w:tcMar>
            <w:vAlign w:val="center"/>
          </w:tcPr>
          <w:p w14:paraId="5E837A02">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LIS</w:t>
            </w:r>
          </w:p>
        </w:tc>
        <w:tc>
          <w:tcPr>
            <w:tcW w:w="2327" w:type="dxa"/>
            <w:vAlign w:val="center"/>
          </w:tcPr>
          <w:p w14:paraId="2A1E5333">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三级</w:t>
            </w:r>
          </w:p>
        </w:tc>
      </w:tr>
      <w:tr w14:paraId="1AD2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16" w:type="dxa"/>
            <w:shd w:val="clear" w:color="auto" w:fill="auto"/>
            <w:tcMar>
              <w:top w:w="12" w:type="dxa"/>
              <w:left w:w="12" w:type="dxa"/>
              <w:right w:w="12" w:type="dxa"/>
            </w:tcMar>
            <w:vAlign w:val="center"/>
          </w:tcPr>
          <w:p w14:paraId="4294CAC0">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4275" w:type="dxa"/>
            <w:shd w:val="clear" w:color="auto" w:fill="auto"/>
            <w:tcMar>
              <w:top w:w="12" w:type="dxa"/>
              <w:left w:w="12" w:type="dxa"/>
              <w:right w:w="12" w:type="dxa"/>
            </w:tcMar>
            <w:vAlign w:val="center"/>
          </w:tcPr>
          <w:p w14:paraId="4137F17B">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PACS</w:t>
            </w:r>
          </w:p>
        </w:tc>
        <w:tc>
          <w:tcPr>
            <w:tcW w:w="2327" w:type="dxa"/>
            <w:vAlign w:val="center"/>
          </w:tcPr>
          <w:p w14:paraId="072B7B5C">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三级</w:t>
            </w:r>
          </w:p>
        </w:tc>
      </w:tr>
      <w:tr w14:paraId="2C9B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16" w:type="dxa"/>
            <w:shd w:val="clear" w:color="auto" w:fill="auto"/>
            <w:tcMar>
              <w:top w:w="12" w:type="dxa"/>
              <w:left w:w="12" w:type="dxa"/>
              <w:right w:w="12" w:type="dxa"/>
            </w:tcMar>
            <w:vAlign w:val="center"/>
          </w:tcPr>
          <w:p w14:paraId="53583733">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4275" w:type="dxa"/>
            <w:shd w:val="clear" w:color="auto" w:fill="auto"/>
            <w:tcMar>
              <w:top w:w="12" w:type="dxa"/>
              <w:left w:w="12" w:type="dxa"/>
              <w:right w:w="12" w:type="dxa"/>
            </w:tcMar>
            <w:vAlign w:val="center"/>
          </w:tcPr>
          <w:p w14:paraId="6898CA99">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互联网医院</w:t>
            </w:r>
          </w:p>
        </w:tc>
        <w:tc>
          <w:tcPr>
            <w:tcW w:w="2327" w:type="dxa"/>
            <w:vAlign w:val="center"/>
          </w:tcPr>
          <w:p w14:paraId="77629363">
            <w:pPr>
              <w:pStyle w:val="4"/>
              <w:spacing w:line="360" w:lineRule="auto"/>
              <w:ind w:left="0" w:lef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三级</w:t>
            </w:r>
          </w:p>
        </w:tc>
      </w:tr>
    </w:tbl>
    <w:p w14:paraId="39CD6EDF">
      <w:pPr>
        <w:keepNext/>
        <w:keepLines/>
        <w:spacing w:before="260" w:after="260" w:line="360" w:lineRule="auto"/>
        <w:outlineLvl w:val="2"/>
        <w:rPr>
          <w:rFonts w:ascii="仿宋" w:hAnsi="仿宋" w:eastAsia="仿宋" w:cs="仿宋"/>
          <w:b/>
          <w:bCs/>
          <w:kern w:val="0"/>
          <w:sz w:val="24"/>
        </w:rPr>
      </w:pPr>
      <w:bookmarkStart w:id="34" w:name="_Toc513644858"/>
      <w:bookmarkStart w:id="35" w:name="_Toc163920964"/>
      <w:bookmarkStart w:id="36" w:name="_Toc496626096"/>
      <w:bookmarkStart w:id="37" w:name="_Toc4877"/>
      <w:bookmarkStart w:id="38" w:name="_Toc155583727"/>
      <w:bookmarkStart w:id="39" w:name="_Toc328497624"/>
      <w:bookmarkStart w:id="40" w:name="_Toc189462534"/>
      <w:bookmarkStart w:id="41" w:name="_Toc199860495"/>
      <w:bookmarkStart w:id="42" w:name="_Toc496775087"/>
      <w:r>
        <w:rPr>
          <w:rFonts w:hint="eastAsia" w:ascii="仿宋" w:hAnsi="仿宋" w:eastAsia="仿宋" w:cs="仿宋"/>
          <w:b/>
          <w:bCs/>
          <w:kern w:val="0"/>
          <w:sz w:val="24"/>
        </w:rPr>
        <w:t>2.</w:t>
      </w:r>
      <w:bookmarkEnd w:id="34"/>
      <w:bookmarkEnd w:id="35"/>
      <w:bookmarkEnd w:id="36"/>
      <w:bookmarkEnd w:id="37"/>
      <w:bookmarkEnd w:id="38"/>
      <w:bookmarkEnd w:id="39"/>
      <w:bookmarkEnd w:id="40"/>
      <w:bookmarkEnd w:id="41"/>
      <w:bookmarkEnd w:id="42"/>
      <w:r>
        <w:rPr>
          <w:rFonts w:hint="eastAsia" w:ascii="仿宋" w:hAnsi="仿宋" w:eastAsia="仿宋" w:cs="仿宋"/>
          <w:b/>
          <w:bCs/>
          <w:kern w:val="0"/>
          <w:sz w:val="24"/>
        </w:rPr>
        <w:t>3 交付成果</w:t>
      </w:r>
    </w:p>
    <w:p w14:paraId="111A6782">
      <w:pPr>
        <w:pStyle w:val="2"/>
        <w:spacing w:line="360" w:lineRule="auto"/>
        <w:rPr>
          <w:rFonts w:ascii="仿宋" w:hAnsi="仿宋" w:eastAsia="仿宋" w:cs="仿宋"/>
          <w:sz w:val="24"/>
          <w:szCs w:val="30"/>
        </w:rPr>
      </w:pPr>
      <w:r>
        <w:rPr>
          <w:rFonts w:hint="eastAsia" w:ascii="仿宋" w:hAnsi="仿宋" w:eastAsia="仿宋" w:cs="仿宋"/>
          <w:sz w:val="24"/>
          <w:szCs w:val="30"/>
        </w:rPr>
        <w:t>包括但不仅限于以下资料：</w:t>
      </w:r>
    </w:p>
    <w:tbl>
      <w:tblPr>
        <w:tblStyle w:val="6"/>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420"/>
      </w:tblGrid>
      <w:tr w14:paraId="17E7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7" w:type="dxa"/>
            <w:noWrap/>
            <w:vAlign w:val="center"/>
          </w:tcPr>
          <w:p w14:paraId="30F84C05">
            <w:pPr>
              <w:spacing w:line="360" w:lineRule="auto"/>
              <w:jc w:val="center"/>
              <w:rPr>
                <w:rFonts w:ascii="仿宋" w:hAnsi="仿宋" w:eastAsia="仿宋" w:cs="仿宋"/>
                <w:color w:val="000000"/>
                <w:sz w:val="24"/>
              </w:rPr>
            </w:pPr>
            <w:r>
              <w:rPr>
                <w:rFonts w:hint="eastAsia" w:ascii="仿宋" w:hAnsi="仿宋" w:eastAsia="仿宋" w:cs="仿宋"/>
                <w:color w:val="000000"/>
                <w:sz w:val="24"/>
              </w:rPr>
              <w:t>1</w:t>
            </w:r>
          </w:p>
        </w:tc>
        <w:tc>
          <w:tcPr>
            <w:tcW w:w="7420" w:type="dxa"/>
            <w:noWrap/>
            <w:vAlign w:val="center"/>
          </w:tcPr>
          <w:p w14:paraId="1AFB270F">
            <w:pPr>
              <w:spacing w:line="360" w:lineRule="auto"/>
              <w:jc w:val="center"/>
              <w:rPr>
                <w:rFonts w:ascii="仿宋" w:hAnsi="仿宋" w:eastAsia="仿宋" w:cs="仿宋"/>
                <w:color w:val="000000"/>
                <w:sz w:val="24"/>
              </w:rPr>
            </w:pPr>
            <w:r>
              <w:rPr>
                <w:rFonts w:hint="eastAsia" w:ascii="仿宋" w:hAnsi="仿宋" w:eastAsia="仿宋" w:cs="仿宋"/>
                <w:sz w:val="24"/>
                <w:lang w:eastAsia="zh-CN"/>
              </w:rPr>
              <w:t>网络安全</w:t>
            </w:r>
            <w:r>
              <w:rPr>
                <w:rFonts w:hint="eastAsia" w:ascii="仿宋" w:hAnsi="仿宋" w:eastAsia="仿宋" w:cs="仿宋"/>
                <w:sz w:val="24"/>
              </w:rPr>
              <w:t>等级测评报告（包含整改建议）</w:t>
            </w:r>
          </w:p>
        </w:tc>
      </w:tr>
      <w:tr w14:paraId="6A1D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7" w:type="dxa"/>
            <w:noWrap/>
            <w:vAlign w:val="center"/>
          </w:tcPr>
          <w:p w14:paraId="6A4DA8C0">
            <w:pPr>
              <w:spacing w:line="360" w:lineRule="auto"/>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w:t>
            </w:r>
          </w:p>
        </w:tc>
        <w:tc>
          <w:tcPr>
            <w:tcW w:w="7420" w:type="dxa"/>
            <w:noWrap/>
            <w:vAlign w:val="center"/>
          </w:tcPr>
          <w:p w14:paraId="3A0118D8">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eastAsia="zh-CN"/>
              </w:rPr>
              <w:t>网络数据安全风险评估</w:t>
            </w:r>
            <w:r>
              <w:rPr>
                <w:rFonts w:hint="eastAsia" w:ascii="仿宋" w:hAnsi="仿宋" w:eastAsia="仿宋" w:cs="仿宋"/>
                <w:sz w:val="24"/>
                <w:lang w:val="en-US" w:eastAsia="zh-CN"/>
              </w:rPr>
              <w:t>报告</w:t>
            </w:r>
          </w:p>
        </w:tc>
      </w:tr>
      <w:tr w14:paraId="35C8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17" w:type="dxa"/>
            <w:noWrap/>
            <w:vAlign w:val="center"/>
          </w:tcPr>
          <w:p w14:paraId="15C7CD29">
            <w:pPr>
              <w:spacing w:line="360" w:lineRule="auto"/>
              <w:jc w:val="center"/>
              <w:rPr>
                <w:rFonts w:ascii="仿宋" w:hAnsi="仿宋" w:eastAsia="仿宋" w:cs="仿宋"/>
                <w:color w:val="000000"/>
                <w:sz w:val="24"/>
              </w:rPr>
            </w:pPr>
            <w:r>
              <w:rPr>
                <w:rFonts w:hint="eastAsia" w:ascii="仿宋" w:hAnsi="仿宋" w:eastAsia="仿宋" w:cs="仿宋"/>
                <w:color w:val="000000"/>
                <w:sz w:val="24"/>
              </w:rPr>
              <w:t>2</w:t>
            </w:r>
          </w:p>
        </w:tc>
        <w:tc>
          <w:tcPr>
            <w:tcW w:w="7420" w:type="dxa"/>
            <w:noWrap/>
            <w:vAlign w:val="center"/>
          </w:tcPr>
          <w:p w14:paraId="7B69567E">
            <w:pPr>
              <w:spacing w:line="360" w:lineRule="auto"/>
              <w:jc w:val="center"/>
              <w:rPr>
                <w:rFonts w:ascii="仿宋" w:hAnsi="仿宋" w:eastAsia="仿宋" w:cs="仿宋"/>
                <w:color w:val="000000"/>
                <w:sz w:val="24"/>
              </w:rPr>
            </w:pPr>
            <w:r>
              <w:rPr>
                <w:rFonts w:hint="eastAsia" w:ascii="仿宋" w:hAnsi="仿宋" w:eastAsia="仿宋" w:cs="仿宋"/>
                <w:sz w:val="24"/>
              </w:rPr>
              <w:t>其他未列入的应交资料</w:t>
            </w:r>
          </w:p>
        </w:tc>
      </w:tr>
    </w:tbl>
    <w:p w14:paraId="20C0D05B">
      <w:pPr>
        <w:pStyle w:val="2"/>
        <w:spacing w:line="360" w:lineRule="auto"/>
        <w:rPr>
          <w:rFonts w:ascii="仿宋" w:hAnsi="仿宋" w:eastAsia="仿宋" w:cs="仿宋"/>
        </w:rPr>
      </w:pPr>
    </w:p>
    <w:p w14:paraId="29AAEDC8">
      <w:pPr>
        <w:keepNext/>
        <w:keepLines/>
        <w:spacing w:before="340" w:after="330" w:line="360" w:lineRule="auto"/>
        <w:outlineLvl w:val="0"/>
        <w:rPr>
          <w:rFonts w:hint="eastAsia" w:ascii="黑体" w:hAnsi="黑体" w:eastAsia="黑体" w:cs="黑体"/>
          <w:b w:val="0"/>
          <w:bCs w:val="0"/>
          <w:kern w:val="44"/>
          <w:sz w:val="24"/>
        </w:rPr>
      </w:pPr>
      <w:bookmarkStart w:id="43" w:name="_Toc10297"/>
      <w:r>
        <w:rPr>
          <w:rFonts w:hint="eastAsia" w:ascii="黑体" w:hAnsi="黑体" w:eastAsia="黑体" w:cs="黑体"/>
          <w:b w:val="0"/>
          <w:bCs w:val="0"/>
          <w:kern w:val="44"/>
          <w:sz w:val="24"/>
          <w:lang w:val="en-US" w:eastAsia="zh-CN"/>
        </w:rPr>
        <w:t>★</w:t>
      </w:r>
      <w:r>
        <w:rPr>
          <w:rFonts w:hint="eastAsia" w:ascii="黑体" w:hAnsi="黑体" w:eastAsia="黑体" w:cs="黑体"/>
          <w:b w:val="0"/>
          <w:bCs w:val="0"/>
          <w:kern w:val="44"/>
          <w:sz w:val="24"/>
        </w:rPr>
        <w:t>二</w:t>
      </w:r>
      <w:r>
        <w:rPr>
          <w:rFonts w:hint="eastAsia" w:ascii="黑体" w:hAnsi="黑体" w:eastAsia="黑体" w:cs="黑体"/>
          <w:b w:val="0"/>
          <w:bCs w:val="0"/>
          <w:kern w:val="44"/>
          <w:sz w:val="24"/>
          <w:lang w:eastAsia="zh-CN"/>
        </w:rPr>
        <w:t>、</w:t>
      </w:r>
      <w:r>
        <w:rPr>
          <w:rFonts w:hint="eastAsia" w:ascii="黑体" w:hAnsi="黑体" w:eastAsia="黑体" w:cs="黑体"/>
          <w:b w:val="0"/>
          <w:bCs w:val="0"/>
          <w:kern w:val="44"/>
          <w:sz w:val="24"/>
        </w:rPr>
        <w:t>人员要求</w:t>
      </w:r>
      <w:bookmarkEnd w:id="43"/>
    </w:p>
    <w:p w14:paraId="4429FA87">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为本项目的顺利、有序实施和质量保证，参选人需为本项目配置项目经理和一定数量的</w:t>
      </w:r>
      <w:r>
        <w:rPr>
          <w:rFonts w:hint="eastAsia" w:ascii="仿宋" w:hAnsi="仿宋" w:eastAsia="仿宋" w:cs="仿宋"/>
          <w:sz w:val="24"/>
          <w:lang w:val="en-US" w:eastAsia="zh-CN"/>
        </w:rPr>
        <w:t>技术</w:t>
      </w:r>
      <w:r>
        <w:rPr>
          <w:rFonts w:hint="eastAsia" w:ascii="仿宋" w:hAnsi="仿宋" w:eastAsia="仿宋" w:cs="仿宋"/>
          <w:sz w:val="24"/>
        </w:rPr>
        <w:t>负责人、</w:t>
      </w:r>
      <w:r>
        <w:rPr>
          <w:rFonts w:hint="eastAsia" w:ascii="仿宋" w:hAnsi="仿宋" w:eastAsia="仿宋" w:cs="仿宋"/>
          <w:sz w:val="24"/>
          <w:lang w:val="en-US" w:eastAsia="zh-CN"/>
        </w:rPr>
        <w:t>质量负责人、测评工程师</w:t>
      </w:r>
      <w:r>
        <w:rPr>
          <w:rFonts w:hint="eastAsia" w:ascii="仿宋" w:hAnsi="仿宋" w:eastAsia="仿宋" w:cs="仿宋"/>
          <w:sz w:val="24"/>
        </w:rPr>
        <w:t>，具体要求如下：</w:t>
      </w:r>
    </w:p>
    <w:p w14:paraId="0DE41A65">
      <w:pPr>
        <w:keepNext w:val="0"/>
        <w:keepLines w:val="0"/>
        <w:pageBreakBefore w:val="0"/>
        <w:widowControl w:val="0"/>
        <w:numPr>
          <w:ilvl w:val="0"/>
          <w:numId w:val="2"/>
        </w:numPr>
        <w:kinsoku/>
        <w:wordWrap w:val="0"/>
        <w:overflowPunct/>
        <w:topLinePunct w:val="0"/>
        <w:autoSpaceDE w:val="0"/>
        <w:autoSpaceDN w:val="0"/>
        <w:bidi w:val="0"/>
        <w:adjustRightInd w:val="0"/>
        <w:snapToGrid/>
        <w:spacing w:line="360" w:lineRule="auto"/>
        <w:ind w:left="28" w:firstLine="480" w:firstLineChars="200"/>
        <w:jc w:val="left"/>
        <w:textAlignment w:val="auto"/>
        <w:rPr>
          <w:rFonts w:ascii="仿宋" w:hAnsi="仿宋" w:eastAsia="仿宋" w:cs="仿宋"/>
          <w:sz w:val="24"/>
        </w:rPr>
      </w:pPr>
      <w:r>
        <w:rPr>
          <w:rFonts w:hint="eastAsia" w:ascii="仿宋" w:hAnsi="仿宋" w:eastAsia="仿宋" w:cs="仿宋"/>
          <w:sz w:val="24"/>
        </w:rPr>
        <w:t>项目经理是本项目的总协调人</w:t>
      </w:r>
      <w:r>
        <w:rPr>
          <w:rFonts w:hint="eastAsia" w:ascii="仿宋" w:hAnsi="仿宋" w:eastAsia="仿宋" w:cs="仿宋"/>
          <w:sz w:val="24"/>
          <w:lang w:val="en-US" w:eastAsia="zh-CN"/>
        </w:rPr>
        <w:t>(1人)</w:t>
      </w:r>
      <w:r>
        <w:rPr>
          <w:rFonts w:hint="eastAsia" w:ascii="仿宋" w:hAnsi="仿宋" w:eastAsia="仿宋" w:cs="仿宋"/>
          <w:sz w:val="24"/>
        </w:rPr>
        <w:t>，</w:t>
      </w:r>
      <w:r>
        <w:rPr>
          <w:rFonts w:hint="eastAsia" w:ascii="仿宋" w:hAnsi="仿宋" w:eastAsia="仿宋" w:cs="仿宋"/>
          <w:sz w:val="24"/>
          <w:lang w:val="en-US" w:eastAsia="zh-CN"/>
        </w:rPr>
        <w:t>需</w:t>
      </w:r>
      <w:r>
        <w:rPr>
          <w:rFonts w:hint="eastAsia" w:ascii="仿宋" w:hAnsi="仿宋" w:eastAsia="仿宋" w:cs="仿宋"/>
          <w:sz w:val="24"/>
        </w:rPr>
        <w:t>具有信息（或网络）安全等级测评师</w:t>
      </w:r>
      <w:r>
        <w:rPr>
          <w:rFonts w:hint="eastAsia" w:ascii="仿宋" w:hAnsi="仿宋" w:eastAsia="仿宋" w:cs="仿宋"/>
          <w:sz w:val="24"/>
          <w:lang w:eastAsia="zh-CN"/>
        </w:rPr>
        <w:t>（</w:t>
      </w:r>
      <w:r>
        <w:rPr>
          <w:rFonts w:hint="eastAsia" w:ascii="仿宋" w:hAnsi="仿宋" w:eastAsia="仿宋" w:cs="仿宋"/>
          <w:sz w:val="24"/>
          <w:lang w:val="en-US" w:eastAsia="zh-CN"/>
        </w:rPr>
        <w:t>高</w:t>
      </w:r>
      <w:r>
        <w:rPr>
          <w:rFonts w:hint="eastAsia" w:ascii="仿宋" w:hAnsi="仿宋" w:eastAsia="仿宋" w:cs="仿宋"/>
          <w:sz w:val="24"/>
        </w:rPr>
        <w:t>级</w:t>
      </w:r>
      <w:r>
        <w:rPr>
          <w:rFonts w:hint="eastAsia" w:ascii="仿宋" w:hAnsi="仿宋" w:eastAsia="仿宋" w:cs="仿宋"/>
          <w:sz w:val="24"/>
          <w:lang w:eastAsia="zh-CN"/>
        </w:rPr>
        <w:t>）</w:t>
      </w:r>
      <w:r>
        <w:rPr>
          <w:rFonts w:hint="eastAsia" w:ascii="仿宋" w:hAnsi="仿宋" w:eastAsia="仿宋" w:cs="仿宋"/>
          <w:sz w:val="24"/>
        </w:rPr>
        <w:t>证书、COBIT Foundation信息系统审计认证证书、重要信息系统保护人员CIIP-A（可信计算）证书、</w:t>
      </w:r>
      <w:r>
        <w:rPr>
          <w:rFonts w:hint="eastAsia" w:ascii="仿宋" w:hAnsi="仿宋" w:eastAsia="仿宋" w:cs="仿宋"/>
          <w:sz w:val="24"/>
          <w:lang w:val="en-US" w:eastAsia="zh-CN"/>
        </w:rPr>
        <w:t>高级网络信息安全工程师</w:t>
      </w:r>
      <w:r>
        <w:rPr>
          <w:rFonts w:hint="eastAsia" w:ascii="仿宋" w:hAnsi="仿宋" w:eastAsia="仿宋" w:cs="仿宋"/>
          <w:sz w:val="24"/>
        </w:rPr>
        <w:t>、DSA数据安全评估师证书、</w:t>
      </w:r>
      <w:r>
        <w:rPr>
          <w:rFonts w:hint="eastAsia" w:ascii="仿宋" w:hAnsi="仿宋" w:eastAsia="仿宋" w:cs="仿宋"/>
          <w:sz w:val="24"/>
          <w:lang w:eastAsia="zh-CN"/>
        </w:rPr>
        <w:t>计算机技术与软件专业技术资格证书</w:t>
      </w:r>
      <w:r>
        <w:rPr>
          <w:rFonts w:hint="eastAsia" w:ascii="仿宋" w:hAnsi="仿宋" w:eastAsia="仿宋" w:cs="仿宋"/>
          <w:sz w:val="24"/>
        </w:rPr>
        <w:t>（信息安全工程师）、注册密码安全专业人员（NSATP-CSP）证书</w:t>
      </w:r>
      <w:r>
        <w:rPr>
          <w:rFonts w:hint="eastAsia" w:ascii="仿宋" w:hAnsi="仿宋" w:eastAsia="仿宋" w:cs="仿宋"/>
          <w:sz w:val="24"/>
          <w:lang w:eastAsia="zh-CN"/>
        </w:rPr>
        <w:t>、个人信息保护专业人员认证证书（CCRC-PIPP）。</w:t>
      </w:r>
    </w:p>
    <w:p w14:paraId="7EBC69F8">
      <w:pPr>
        <w:keepNext w:val="0"/>
        <w:keepLines w:val="0"/>
        <w:pageBreakBefore w:val="0"/>
        <w:widowControl w:val="0"/>
        <w:numPr>
          <w:ilvl w:val="0"/>
          <w:numId w:val="2"/>
        </w:numPr>
        <w:kinsoku/>
        <w:wordWrap w:val="0"/>
        <w:overflowPunct/>
        <w:topLinePunct w:val="0"/>
        <w:autoSpaceDE w:val="0"/>
        <w:autoSpaceDN w:val="0"/>
        <w:bidi w:val="0"/>
        <w:adjustRightInd w:val="0"/>
        <w:snapToGrid/>
        <w:spacing w:line="360" w:lineRule="auto"/>
        <w:ind w:left="28" w:firstLine="480" w:firstLineChars="200"/>
        <w:jc w:val="left"/>
        <w:textAlignment w:val="auto"/>
        <w:rPr>
          <w:rFonts w:hint="eastAsia" w:ascii="仿宋" w:hAnsi="仿宋" w:eastAsia="仿宋" w:cs="仿宋"/>
          <w:sz w:val="24"/>
        </w:rPr>
      </w:pPr>
      <w:r>
        <w:rPr>
          <w:rFonts w:hint="eastAsia" w:ascii="仿宋" w:hAnsi="仿宋" w:eastAsia="仿宋" w:cs="仿宋"/>
          <w:sz w:val="24"/>
          <w:lang w:val="en-US" w:eastAsia="zh-CN"/>
        </w:rPr>
        <w:t>技术</w:t>
      </w:r>
      <w:r>
        <w:rPr>
          <w:rFonts w:hint="eastAsia" w:ascii="仿宋" w:hAnsi="仿宋" w:eastAsia="仿宋" w:cs="仿宋"/>
          <w:sz w:val="24"/>
        </w:rPr>
        <w:t>负责人</w:t>
      </w:r>
      <w:r>
        <w:rPr>
          <w:rFonts w:hint="eastAsia" w:ascii="仿宋" w:hAnsi="仿宋" w:eastAsia="仿宋" w:cs="仿宋"/>
          <w:sz w:val="24"/>
          <w:lang w:eastAsia="zh-CN"/>
        </w:rPr>
        <w:t>（</w:t>
      </w:r>
      <w:r>
        <w:rPr>
          <w:rFonts w:hint="eastAsia" w:ascii="仿宋" w:hAnsi="仿宋" w:eastAsia="仿宋" w:cs="仿宋"/>
          <w:sz w:val="24"/>
          <w:lang w:val="en-US" w:eastAsia="zh-CN"/>
        </w:rPr>
        <w:t>1人</w:t>
      </w:r>
      <w:r>
        <w:rPr>
          <w:rFonts w:hint="eastAsia" w:ascii="仿宋" w:hAnsi="仿宋" w:eastAsia="仿宋" w:cs="仿宋"/>
          <w:sz w:val="24"/>
          <w:lang w:eastAsia="zh-CN"/>
        </w:rPr>
        <w:t>），</w:t>
      </w:r>
      <w:r>
        <w:rPr>
          <w:rFonts w:hint="eastAsia" w:ascii="仿宋" w:hAnsi="仿宋" w:eastAsia="仿宋" w:cs="仿宋"/>
          <w:sz w:val="24"/>
          <w:lang w:val="en-US" w:eastAsia="zh-CN"/>
        </w:rPr>
        <w:t>需</w:t>
      </w:r>
      <w:r>
        <w:rPr>
          <w:rFonts w:hint="eastAsia" w:ascii="仿宋" w:hAnsi="仿宋" w:eastAsia="仿宋" w:cs="仿宋"/>
          <w:sz w:val="24"/>
        </w:rPr>
        <w:t>具有信息（或网络）安全等级测评师（高级）证书、信息系统项目管理师证书（高级）</w:t>
      </w:r>
      <w:r>
        <w:rPr>
          <w:rFonts w:hint="eastAsia" w:ascii="仿宋" w:hAnsi="仿宋" w:eastAsia="仿宋" w:cs="仿宋"/>
          <w:sz w:val="24"/>
          <w:lang w:eastAsia="zh-CN"/>
        </w:rPr>
        <w:t>、</w:t>
      </w:r>
      <w:r>
        <w:rPr>
          <w:rFonts w:hint="eastAsia" w:ascii="仿宋" w:hAnsi="仿宋" w:eastAsia="仿宋" w:cs="仿宋"/>
          <w:sz w:val="24"/>
          <w:lang w:val="en-US" w:eastAsia="zh-CN"/>
        </w:rPr>
        <w:t>软件测试工程师（高级）</w:t>
      </w:r>
      <w:r>
        <w:rPr>
          <w:rFonts w:hint="eastAsia" w:ascii="仿宋" w:hAnsi="仿宋" w:eastAsia="仿宋" w:cs="仿宋"/>
          <w:sz w:val="24"/>
          <w:lang w:eastAsia="zh-CN"/>
        </w:rPr>
        <w:t>、</w:t>
      </w:r>
      <w:r>
        <w:rPr>
          <w:rFonts w:hint="eastAsia" w:ascii="仿宋" w:hAnsi="仿宋" w:eastAsia="仿宋" w:cs="仿宋"/>
          <w:sz w:val="24"/>
          <w:lang w:val="en-US" w:eastAsia="zh-CN"/>
        </w:rPr>
        <w:t>计算机技术与软件专业技术资格证书（软件评测师）、CISP注册信息安全专业人员证书、计算机技术与软件专业技术资格证书（信息安全工程师）。</w:t>
      </w:r>
    </w:p>
    <w:p w14:paraId="29840F13">
      <w:pPr>
        <w:keepNext w:val="0"/>
        <w:keepLines w:val="0"/>
        <w:pageBreakBefore w:val="0"/>
        <w:widowControl w:val="0"/>
        <w:numPr>
          <w:ilvl w:val="0"/>
          <w:numId w:val="2"/>
        </w:numPr>
        <w:kinsoku/>
        <w:wordWrap w:val="0"/>
        <w:overflowPunct/>
        <w:topLinePunct w:val="0"/>
        <w:autoSpaceDE w:val="0"/>
        <w:autoSpaceDN w:val="0"/>
        <w:bidi w:val="0"/>
        <w:adjustRightInd w:val="0"/>
        <w:snapToGrid/>
        <w:spacing w:line="360" w:lineRule="auto"/>
        <w:ind w:left="28" w:firstLine="480" w:firstLineChars="200"/>
        <w:jc w:val="left"/>
        <w:textAlignment w:val="auto"/>
        <w:rPr>
          <w:rFonts w:ascii="仿宋" w:hAnsi="仿宋" w:eastAsia="仿宋" w:cs="仿宋"/>
          <w:sz w:val="24"/>
        </w:rPr>
      </w:pPr>
      <w:r>
        <w:rPr>
          <w:rFonts w:hint="eastAsia" w:ascii="仿宋" w:hAnsi="仿宋" w:eastAsia="仿宋" w:cs="仿宋"/>
          <w:sz w:val="24"/>
          <w:lang w:val="en-US" w:eastAsia="zh-CN"/>
        </w:rPr>
        <w:t>质量</w:t>
      </w:r>
      <w:r>
        <w:rPr>
          <w:rFonts w:hint="eastAsia" w:ascii="仿宋" w:hAnsi="仿宋" w:eastAsia="仿宋" w:cs="仿宋"/>
          <w:sz w:val="24"/>
        </w:rPr>
        <w:t>负责人</w:t>
      </w:r>
      <w:r>
        <w:rPr>
          <w:rFonts w:hint="eastAsia" w:ascii="仿宋" w:hAnsi="仿宋" w:eastAsia="仿宋" w:cs="仿宋"/>
          <w:sz w:val="24"/>
          <w:lang w:eastAsia="zh-CN"/>
        </w:rPr>
        <w:t>（</w:t>
      </w:r>
      <w:r>
        <w:rPr>
          <w:rFonts w:hint="eastAsia" w:ascii="仿宋" w:hAnsi="仿宋" w:eastAsia="仿宋" w:cs="仿宋"/>
          <w:sz w:val="24"/>
          <w:lang w:val="en-US" w:eastAsia="zh-CN"/>
        </w:rPr>
        <w:t>1人</w:t>
      </w:r>
      <w:r>
        <w:rPr>
          <w:rFonts w:hint="eastAsia" w:ascii="仿宋" w:hAnsi="仿宋" w:eastAsia="仿宋" w:cs="仿宋"/>
          <w:sz w:val="24"/>
          <w:lang w:eastAsia="zh-CN"/>
        </w:rPr>
        <w:t>），</w:t>
      </w:r>
      <w:r>
        <w:rPr>
          <w:rFonts w:hint="eastAsia" w:ascii="仿宋" w:hAnsi="仿宋" w:eastAsia="仿宋" w:cs="仿宋"/>
          <w:sz w:val="24"/>
          <w:lang w:val="en-US" w:eastAsia="zh-CN"/>
        </w:rPr>
        <w:t>需有信息（或网络）安全等级测评师（中级）证书、信息技术应用创新考试评价证书（信息安全工程师）、DSO数据安全官证书、商用密码应用安全性评估从业人员考核成绩合格证明、CCSC网络安全能力认证证书（网络安全管理II级）</w:t>
      </w:r>
      <w:r>
        <w:rPr>
          <w:rFonts w:hint="eastAsia" w:ascii="仿宋" w:hAnsi="仿宋" w:eastAsia="仿宋" w:cs="仿宋"/>
          <w:sz w:val="24"/>
        </w:rPr>
        <w:t>。</w:t>
      </w:r>
    </w:p>
    <w:p w14:paraId="5438DF4C">
      <w:pPr>
        <w:numPr>
          <w:ilvl w:val="0"/>
          <w:numId w:val="2"/>
        </w:num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测评工程师</w:t>
      </w:r>
      <w:r>
        <w:rPr>
          <w:rFonts w:hint="eastAsia" w:ascii="仿宋" w:hAnsi="仿宋" w:eastAsia="仿宋" w:cs="仿宋"/>
          <w:sz w:val="24"/>
          <w:lang w:eastAsia="zh-CN"/>
        </w:rPr>
        <w:t>（</w:t>
      </w:r>
      <w:r>
        <w:rPr>
          <w:rFonts w:hint="eastAsia" w:ascii="仿宋" w:hAnsi="仿宋" w:eastAsia="仿宋" w:cs="仿宋"/>
          <w:sz w:val="24"/>
          <w:lang w:val="en-US" w:eastAsia="zh-CN"/>
        </w:rPr>
        <w:t>2人</w:t>
      </w:r>
      <w:r>
        <w:rPr>
          <w:rFonts w:hint="eastAsia" w:ascii="仿宋" w:hAnsi="仿宋" w:eastAsia="仿宋" w:cs="仿宋"/>
          <w:sz w:val="24"/>
          <w:lang w:eastAsia="zh-CN"/>
        </w:rPr>
        <w:t>），</w:t>
      </w:r>
      <w:r>
        <w:rPr>
          <w:rFonts w:hint="eastAsia" w:ascii="仿宋" w:hAnsi="仿宋" w:eastAsia="仿宋" w:cs="仿宋"/>
          <w:sz w:val="24"/>
          <w:lang w:val="en-US" w:eastAsia="zh-CN"/>
        </w:rPr>
        <w:t>需具有信息（或网络）安全等级测评师（中级）证书、信息网络安全专业人员认证证书（网络安全项目管理员）、高级软件测评工程师证书、注册密码安全专业人员（NSATP-CSP）证书、重要信息系统保护人员（CIIPT-D）证书。</w:t>
      </w:r>
    </w:p>
    <w:p w14:paraId="2ABB4F3E">
      <w:pPr>
        <w:pStyle w:val="2"/>
        <w:ind w:firstLine="482" w:firstLineChars="200"/>
        <w:rPr>
          <w:rFonts w:hint="default"/>
          <w:b/>
          <w:bCs/>
          <w:lang w:val="en-US"/>
        </w:rPr>
      </w:pPr>
      <w:r>
        <w:rPr>
          <w:rFonts w:hint="eastAsia" w:ascii="仿宋" w:hAnsi="仿宋" w:eastAsia="仿宋" w:cs="仿宋"/>
          <w:b/>
          <w:bCs/>
          <w:sz w:val="24"/>
          <w:lang w:val="en-US" w:eastAsia="zh-CN"/>
        </w:rPr>
        <w:t>调研报价过程中以上内容要求提供承诺函，“如若中标，在合同签订时提供以上证书扫描件并加盖公章，并注明供应商指派拥有以上证书人员开展现场实施，现场驻场实施天数不少于30个工作日。”</w:t>
      </w:r>
    </w:p>
    <w:p w14:paraId="5B6C99F0">
      <w:pPr>
        <w:keepNext/>
        <w:keepLines/>
        <w:spacing w:before="340" w:after="330" w:line="360" w:lineRule="auto"/>
        <w:outlineLvl w:val="0"/>
        <w:rPr>
          <w:rFonts w:hint="eastAsia" w:ascii="黑体" w:hAnsi="黑体" w:eastAsia="黑体" w:cs="黑体"/>
          <w:b w:val="0"/>
          <w:bCs w:val="0"/>
          <w:kern w:val="44"/>
          <w:sz w:val="24"/>
        </w:rPr>
      </w:pPr>
      <w:bookmarkStart w:id="44" w:name="_Toc27248"/>
      <w:r>
        <w:rPr>
          <w:rFonts w:hint="eastAsia" w:ascii="黑体" w:hAnsi="黑体" w:eastAsia="黑体" w:cs="黑体"/>
          <w:b w:val="0"/>
          <w:bCs w:val="0"/>
          <w:kern w:val="44"/>
          <w:sz w:val="24"/>
          <w:lang w:val="en-US" w:eastAsia="zh-CN"/>
        </w:rPr>
        <w:t>三、</w:t>
      </w:r>
      <w:r>
        <w:rPr>
          <w:rFonts w:hint="eastAsia" w:ascii="黑体" w:hAnsi="黑体" w:eastAsia="黑体" w:cs="黑体"/>
          <w:b w:val="0"/>
          <w:bCs w:val="0"/>
          <w:kern w:val="44"/>
          <w:sz w:val="24"/>
        </w:rPr>
        <w:t>管理要求</w:t>
      </w:r>
      <w:bookmarkEnd w:id="44"/>
    </w:p>
    <w:p w14:paraId="4DD9327F">
      <w:pPr>
        <w:autoSpaceDE w:val="0"/>
        <w:autoSpaceDN w:val="0"/>
        <w:adjustRightInd w:val="0"/>
        <w:spacing w:line="360" w:lineRule="auto"/>
        <w:ind w:firstLine="480" w:firstLineChars="200"/>
        <w:jc w:val="left"/>
        <w:rPr>
          <w:rFonts w:ascii="仿宋" w:hAnsi="仿宋" w:eastAsia="仿宋" w:cs="仿宋"/>
          <w:sz w:val="24"/>
        </w:rPr>
      </w:pPr>
      <w:bookmarkStart w:id="45" w:name="_Toc22740"/>
      <w:r>
        <w:rPr>
          <w:rFonts w:hint="eastAsia" w:ascii="仿宋" w:hAnsi="仿宋" w:eastAsia="仿宋" w:cs="仿宋"/>
          <w:sz w:val="24"/>
        </w:rPr>
        <w:t>1、供应商必须提供完整的项目管理方案，供应商需要针对以下项目管理要求进行项目管理服务要求进行承诺，未提供项目管理服务承诺为无效供应商。</w:t>
      </w:r>
    </w:p>
    <w:p w14:paraId="61133F3A">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2、供应商及其测评人员应当严格执行有关国家信息安全等级保护相关标准和有关规定，提供客观、公平、公正、有效的等级保护测评服务，并承担相应的法律责任；</w:t>
      </w:r>
    </w:p>
    <w:p w14:paraId="79537C38">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供应商在对被测评单位开展等级保护测评服务之前需与被测评单位签订保密协议，测评过程中向被测评单位借阅的文档资料应在测评工作结束后全部归还被测评单位，未经被测评单位允许，不得擅自复制、保留；</w:t>
      </w:r>
    </w:p>
    <w:p w14:paraId="1CDB2FDC">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4、供应商的岗位配置要至少配置测评师、项目经理、渗透工程师、质量主管等并明确各个岗位的相关职责。</w:t>
      </w:r>
    </w:p>
    <w:p w14:paraId="09B100C7">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5、测评工具要求</w:t>
      </w:r>
    </w:p>
    <w:p w14:paraId="64742FE2">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（1）采用的测评工具必须获得正版授权，并在有效期内，不得使用盗版软件；</w:t>
      </w:r>
    </w:p>
    <w:p w14:paraId="348AF2D0">
      <w:pPr>
        <w:spacing w:line="360" w:lineRule="auto"/>
        <w:ind w:firstLine="480" w:firstLineChars="200"/>
        <w:rPr>
          <w:rFonts w:ascii="仿宋" w:hAnsi="仿宋" w:eastAsia="仿宋" w:cs="仿宋"/>
          <w:sz w:val="24"/>
        </w:rPr>
      </w:pPr>
      <w:r>
        <w:rPr>
          <w:rFonts w:hint="eastAsia" w:ascii="仿宋" w:hAnsi="仿宋" w:eastAsia="仿宋" w:cs="仿宋"/>
          <w:sz w:val="24"/>
        </w:rPr>
        <w:t>（2）采用的测评工具在功能、性能等满足使用要求前提下，应优先采用具有国内自主知识产权的同类产品；</w:t>
      </w:r>
    </w:p>
    <w:p w14:paraId="6E938703">
      <w:pPr>
        <w:spacing w:line="360" w:lineRule="auto"/>
        <w:ind w:firstLine="480" w:firstLineChars="200"/>
        <w:rPr>
          <w:rFonts w:ascii="仿宋" w:hAnsi="仿宋" w:eastAsia="仿宋" w:cs="仿宋"/>
          <w:sz w:val="24"/>
        </w:rPr>
      </w:pPr>
      <w:r>
        <w:rPr>
          <w:rFonts w:hint="eastAsia" w:ascii="仿宋" w:hAnsi="仿宋" w:eastAsia="仿宋" w:cs="仿宋"/>
          <w:sz w:val="24"/>
        </w:rPr>
        <w:t>（3）采用的测评工具的生产商应为正规厂商，能够对产品进行持续更新并提供质量和安全保障；</w:t>
      </w:r>
    </w:p>
    <w:p w14:paraId="4587C451">
      <w:pPr>
        <w:spacing w:line="360" w:lineRule="auto"/>
        <w:ind w:firstLine="480" w:firstLineChars="200"/>
        <w:rPr>
          <w:rFonts w:ascii="仿宋" w:hAnsi="仿宋" w:eastAsia="仿宋" w:cs="仿宋"/>
          <w:sz w:val="24"/>
        </w:rPr>
      </w:pPr>
      <w:r>
        <w:rPr>
          <w:rFonts w:hint="eastAsia" w:ascii="仿宋" w:hAnsi="仿宋" w:eastAsia="仿宋" w:cs="仿宋"/>
          <w:sz w:val="24"/>
        </w:rPr>
        <w:t>（4）测评机构所使用的测评工具不会对单位系统产生破坏或负面影响。</w:t>
      </w:r>
    </w:p>
    <w:bookmarkEnd w:id="45"/>
    <w:p w14:paraId="2A158B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5278A"/>
    <w:multiLevelType w:val="multilevel"/>
    <w:tmpl w:val="00D5278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CD4407"/>
    <w:multiLevelType w:val="singleLevel"/>
    <w:tmpl w:val="29CD4407"/>
    <w:lvl w:ilvl="0" w:tentative="0">
      <w:start w:val="1"/>
      <w:numFmt w:val="decimal"/>
      <w:suff w:val="nothing"/>
      <w:lvlText w:val="%1．"/>
      <w:lvlJc w:val="left"/>
      <w:pPr>
        <w:ind w:left="26"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17FDE"/>
    <w:rsid w:val="02954528"/>
    <w:rsid w:val="04C335CE"/>
    <w:rsid w:val="08EB4EA1"/>
    <w:rsid w:val="09594501"/>
    <w:rsid w:val="0A4A209B"/>
    <w:rsid w:val="0BAB0918"/>
    <w:rsid w:val="0E364FEB"/>
    <w:rsid w:val="10881228"/>
    <w:rsid w:val="11847C41"/>
    <w:rsid w:val="13201BEB"/>
    <w:rsid w:val="16315EBE"/>
    <w:rsid w:val="16BA2357"/>
    <w:rsid w:val="174043B2"/>
    <w:rsid w:val="1768505C"/>
    <w:rsid w:val="19EF056A"/>
    <w:rsid w:val="1F615A66"/>
    <w:rsid w:val="1F891D47"/>
    <w:rsid w:val="23CF6B0D"/>
    <w:rsid w:val="24ED5CB9"/>
    <w:rsid w:val="26A8345E"/>
    <w:rsid w:val="26EE4083"/>
    <w:rsid w:val="28C11323"/>
    <w:rsid w:val="28D9666D"/>
    <w:rsid w:val="2B2A31B0"/>
    <w:rsid w:val="2DCC49F2"/>
    <w:rsid w:val="2FD02A83"/>
    <w:rsid w:val="37A46016"/>
    <w:rsid w:val="37A8202C"/>
    <w:rsid w:val="38E52E0C"/>
    <w:rsid w:val="39033292"/>
    <w:rsid w:val="3CAD1E92"/>
    <w:rsid w:val="3EEF6792"/>
    <w:rsid w:val="3FB35A12"/>
    <w:rsid w:val="40D1448E"/>
    <w:rsid w:val="414F52C6"/>
    <w:rsid w:val="43923B90"/>
    <w:rsid w:val="43F03412"/>
    <w:rsid w:val="46C71DA3"/>
    <w:rsid w:val="46FC37FA"/>
    <w:rsid w:val="475F022D"/>
    <w:rsid w:val="4A3C5376"/>
    <w:rsid w:val="4A3D4856"/>
    <w:rsid w:val="4C96024D"/>
    <w:rsid w:val="4F353E8A"/>
    <w:rsid w:val="52285DEB"/>
    <w:rsid w:val="53073C53"/>
    <w:rsid w:val="5320789E"/>
    <w:rsid w:val="53737A4A"/>
    <w:rsid w:val="53E21FCA"/>
    <w:rsid w:val="53EF39DA"/>
    <w:rsid w:val="553920BD"/>
    <w:rsid w:val="55482300"/>
    <w:rsid w:val="57A62512"/>
    <w:rsid w:val="5AC73CC7"/>
    <w:rsid w:val="5B0D2022"/>
    <w:rsid w:val="5C335AB8"/>
    <w:rsid w:val="5E1C66D3"/>
    <w:rsid w:val="5F530FA9"/>
    <w:rsid w:val="60194FC5"/>
    <w:rsid w:val="603240CA"/>
    <w:rsid w:val="60433DF0"/>
    <w:rsid w:val="61954B1F"/>
    <w:rsid w:val="61FA48B8"/>
    <w:rsid w:val="676B3BCF"/>
    <w:rsid w:val="69E37643"/>
    <w:rsid w:val="6ACD532A"/>
    <w:rsid w:val="6B264749"/>
    <w:rsid w:val="6ED74580"/>
    <w:rsid w:val="70DF7B65"/>
    <w:rsid w:val="72275320"/>
    <w:rsid w:val="72822E9E"/>
    <w:rsid w:val="7315038C"/>
    <w:rsid w:val="73FF361F"/>
    <w:rsid w:val="74373814"/>
    <w:rsid w:val="75C02056"/>
    <w:rsid w:val="761D3769"/>
    <w:rsid w:val="771147F0"/>
    <w:rsid w:val="785A182F"/>
    <w:rsid w:val="78C1252B"/>
    <w:rsid w:val="794F0D84"/>
    <w:rsid w:val="7A3A405E"/>
    <w:rsid w:val="7D593F4F"/>
    <w:rsid w:val="7DE62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1"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Normal Indent"/>
    <w:basedOn w:val="1"/>
    <w:qFormat/>
    <w:uiPriority w:val="1"/>
    <w:pPr>
      <w:ind w:firstLine="420" w:firstLineChars="200"/>
    </w:pPr>
  </w:style>
  <w:style w:type="paragraph" w:styleId="5">
    <w:name w:val="Body Text 3"/>
    <w:basedOn w:val="1"/>
    <w:unhideWhenUsed/>
    <w:qFormat/>
    <w:uiPriority w:val="99"/>
    <w:pPr>
      <w:spacing w:after="120"/>
    </w:pPr>
    <w:rPr>
      <w:sz w:val="16"/>
      <w:szCs w:val="16"/>
    </w:rPr>
  </w:style>
  <w:style w:type="table" w:customStyle="1" w:styleId="8">
    <w:name w:val="网格型2"/>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2523</Words>
  <Characters>2741</Characters>
  <Lines>0</Lines>
  <Paragraphs>0</Paragraphs>
  <TotalTime>16</TotalTime>
  <ScaleCrop>false</ScaleCrop>
  <LinksUpToDate>false</LinksUpToDate>
  <CharactersWithSpaces>2763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2026-03-02T03:03:00Z</dcterms:created>
  <dc:creator>Administrator</dc:creator>
  <cp:lastModifiedBy>牟高建</cp:lastModifiedBy>
  <dcterms:modified xsi:type="dcterms:W3CDTF">2026-07-06T03:30:37Z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eyJoZGlkIjoiNWI2NjFlYTJmNGQxMzg2NzBiZmFjZmI2YzIyODFlNDkiLCJ1c2VySWQiOiIzMzk0NTA0MDIifQ==</vt:lpwstr>
  </property>
  <property fmtid="{D5CDD505-2E9C-101B-9397-08002B2CF9AE}" pid="4" name="ICV">
    <vt:lpwstr>367D727DCA004BA88452D692A3F1F813_13</vt:lpwstr>
  </property>
</Properties>
</file>